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3A01" w:rsidRPr="005F1664" w:rsidRDefault="00603A01" w:rsidP="005F1664">
      <w:pPr>
        <w:suppressAutoHyphens/>
        <w:spacing w:before="20" w:after="200" w:line="360" w:lineRule="auto"/>
        <w:rPr>
          <w:rFonts w:eastAsiaTheme="minorHAnsi"/>
          <w:sz w:val="28"/>
          <w:szCs w:val="28"/>
          <w:lang w:eastAsia="en-US"/>
        </w:rPr>
      </w:pPr>
      <w:r w:rsidRPr="005F1664">
        <w:rPr>
          <w:rFonts w:eastAsiaTheme="minorHAnsi"/>
          <w:sz w:val="28"/>
          <w:szCs w:val="28"/>
          <w:lang w:eastAsia="en-US"/>
        </w:rPr>
        <w:t>УДК 678.049:541.126</w:t>
      </w:r>
    </w:p>
    <w:p w:rsidR="00603A01" w:rsidRPr="005F1664" w:rsidRDefault="002D2633" w:rsidP="005F1664">
      <w:pPr>
        <w:suppressAutoHyphens/>
        <w:spacing w:before="20" w:after="200" w:line="360" w:lineRule="auto"/>
        <w:contextualSpacing/>
        <w:jc w:val="both"/>
        <w:rPr>
          <w:rFonts w:eastAsiaTheme="minorHAnsi"/>
          <w:b/>
          <w:sz w:val="28"/>
          <w:szCs w:val="28"/>
          <w:lang w:eastAsia="en-US"/>
        </w:rPr>
      </w:pPr>
      <w:r w:rsidRPr="005F1664">
        <w:rPr>
          <w:rFonts w:eastAsiaTheme="minorHAnsi"/>
          <w:b/>
          <w:sz w:val="28"/>
          <w:szCs w:val="28"/>
          <w:lang w:eastAsia="en-US"/>
        </w:rPr>
        <w:t>Керамообразующие полимерные прекурсоры для керамоматричных композицио</w:t>
      </w:r>
      <w:r w:rsidRPr="005F1664">
        <w:rPr>
          <w:rFonts w:eastAsiaTheme="minorHAnsi"/>
          <w:b/>
          <w:sz w:val="28"/>
          <w:szCs w:val="28"/>
          <w:lang w:eastAsia="en-US"/>
        </w:rPr>
        <w:t>н</w:t>
      </w:r>
      <w:r w:rsidRPr="005F1664">
        <w:rPr>
          <w:rFonts w:eastAsiaTheme="minorHAnsi"/>
          <w:b/>
          <w:sz w:val="28"/>
          <w:szCs w:val="28"/>
          <w:lang w:eastAsia="en-US"/>
        </w:rPr>
        <w:t>ных ма</w:t>
      </w:r>
      <w:r w:rsidR="008E07E6" w:rsidRPr="005F1664">
        <w:rPr>
          <w:rFonts w:eastAsiaTheme="minorHAnsi"/>
          <w:b/>
          <w:sz w:val="28"/>
          <w:szCs w:val="28"/>
          <w:lang w:eastAsia="en-US"/>
        </w:rPr>
        <w:t>териалов</w:t>
      </w:r>
    </w:p>
    <w:p w:rsidR="00603A01" w:rsidRPr="005F1664" w:rsidRDefault="00C37211" w:rsidP="005F1664">
      <w:pPr>
        <w:suppressAutoHyphens/>
        <w:spacing w:before="20" w:after="200" w:line="360" w:lineRule="auto"/>
        <w:contextualSpacing/>
        <w:jc w:val="both"/>
        <w:rPr>
          <w:rFonts w:eastAsiaTheme="minorHAnsi"/>
          <w:sz w:val="28"/>
          <w:szCs w:val="28"/>
          <w:lang w:eastAsia="en-US"/>
        </w:rPr>
      </w:pPr>
      <w:r w:rsidRPr="005F1664">
        <w:rPr>
          <w:rFonts w:eastAsiaTheme="minorHAnsi"/>
          <w:sz w:val="28"/>
          <w:szCs w:val="28"/>
          <w:lang w:eastAsia="en-US"/>
        </w:rPr>
        <w:t>Шестаков А</w:t>
      </w:r>
      <w:r w:rsidR="005F1664" w:rsidRPr="005F1664">
        <w:rPr>
          <w:rFonts w:eastAsiaTheme="minorHAnsi"/>
          <w:sz w:val="28"/>
          <w:szCs w:val="28"/>
          <w:lang w:eastAsia="en-US"/>
        </w:rPr>
        <w:t>.</w:t>
      </w:r>
      <w:r w:rsidRPr="005F1664">
        <w:rPr>
          <w:rFonts w:eastAsiaTheme="minorHAnsi"/>
          <w:sz w:val="28"/>
          <w:szCs w:val="28"/>
          <w:lang w:eastAsia="en-US"/>
        </w:rPr>
        <w:t>М</w:t>
      </w:r>
      <w:r w:rsidR="005F1664" w:rsidRPr="005F1664">
        <w:rPr>
          <w:rFonts w:eastAsiaTheme="minorHAnsi"/>
          <w:sz w:val="28"/>
          <w:szCs w:val="28"/>
          <w:lang w:eastAsia="en-US"/>
        </w:rPr>
        <w:t xml:space="preserve">., </w:t>
      </w:r>
      <w:r w:rsidRPr="005F1664">
        <w:rPr>
          <w:rFonts w:eastAsiaTheme="minorHAnsi"/>
          <w:sz w:val="28"/>
          <w:szCs w:val="28"/>
          <w:lang w:eastAsia="en-US"/>
        </w:rPr>
        <w:t>к.х.н.</w:t>
      </w:r>
      <w:r w:rsidR="005F1664" w:rsidRPr="005F1664">
        <w:rPr>
          <w:rFonts w:eastAsiaTheme="minorHAnsi"/>
          <w:sz w:val="28"/>
          <w:szCs w:val="28"/>
          <w:lang w:eastAsia="en-US"/>
        </w:rPr>
        <w:t xml:space="preserve">, </w:t>
      </w:r>
      <w:r w:rsidR="00603A01" w:rsidRPr="005F1664">
        <w:rPr>
          <w:rFonts w:eastAsiaTheme="minorHAnsi"/>
          <w:sz w:val="28"/>
          <w:szCs w:val="28"/>
          <w:lang w:eastAsia="en-US"/>
        </w:rPr>
        <w:t>Швец Н</w:t>
      </w:r>
      <w:r w:rsidR="005F1664" w:rsidRPr="005F1664">
        <w:rPr>
          <w:rFonts w:eastAsiaTheme="minorHAnsi"/>
          <w:sz w:val="28"/>
          <w:szCs w:val="28"/>
          <w:lang w:eastAsia="en-US"/>
        </w:rPr>
        <w:t>.</w:t>
      </w:r>
      <w:r w:rsidR="00603A01" w:rsidRPr="005F1664">
        <w:rPr>
          <w:rFonts w:eastAsiaTheme="minorHAnsi"/>
          <w:sz w:val="28"/>
          <w:szCs w:val="28"/>
          <w:lang w:eastAsia="en-US"/>
        </w:rPr>
        <w:t>И</w:t>
      </w:r>
      <w:r w:rsidR="005F1664" w:rsidRPr="005F1664">
        <w:rPr>
          <w:rFonts w:eastAsiaTheme="minorHAnsi"/>
          <w:sz w:val="28"/>
          <w:szCs w:val="28"/>
          <w:lang w:eastAsia="en-US"/>
        </w:rPr>
        <w:t>.,</w:t>
      </w:r>
      <w:r w:rsidR="00603A01" w:rsidRPr="005F1664">
        <w:rPr>
          <w:rFonts w:eastAsiaTheme="minorHAnsi"/>
          <w:sz w:val="28"/>
          <w:szCs w:val="28"/>
          <w:lang w:eastAsia="en-US"/>
        </w:rPr>
        <w:t xml:space="preserve"> к.т.н.</w:t>
      </w:r>
      <w:r w:rsidR="005F1664" w:rsidRPr="005F1664">
        <w:rPr>
          <w:rFonts w:eastAsiaTheme="minorHAnsi"/>
          <w:sz w:val="28"/>
          <w:szCs w:val="28"/>
          <w:lang w:eastAsia="en-US"/>
        </w:rPr>
        <w:t xml:space="preserve">, </w:t>
      </w:r>
      <w:r w:rsidR="00603A01" w:rsidRPr="005F1664">
        <w:rPr>
          <w:rFonts w:eastAsiaTheme="minorHAnsi"/>
          <w:sz w:val="28"/>
          <w:szCs w:val="28"/>
          <w:lang w:eastAsia="en-US"/>
        </w:rPr>
        <w:t>Минаков В</w:t>
      </w:r>
      <w:r w:rsidR="005F1664" w:rsidRPr="005F1664">
        <w:rPr>
          <w:rFonts w:eastAsiaTheme="minorHAnsi"/>
          <w:sz w:val="28"/>
          <w:szCs w:val="28"/>
          <w:lang w:eastAsia="en-US"/>
        </w:rPr>
        <w:t>.</w:t>
      </w:r>
      <w:r w:rsidR="00603A01" w:rsidRPr="005F1664">
        <w:rPr>
          <w:rFonts w:eastAsiaTheme="minorHAnsi"/>
          <w:sz w:val="28"/>
          <w:szCs w:val="28"/>
          <w:lang w:eastAsia="en-US"/>
        </w:rPr>
        <w:t>Т</w:t>
      </w:r>
      <w:r w:rsidR="005F1664" w:rsidRPr="005F1664">
        <w:rPr>
          <w:rFonts w:eastAsiaTheme="minorHAnsi"/>
          <w:sz w:val="28"/>
          <w:szCs w:val="28"/>
          <w:lang w:eastAsia="en-US"/>
        </w:rPr>
        <w:t xml:space="preserve">., </w:t>
      </w:r>
      <w:r w:rsidR="00603A01" w:rsidRPr="005F1664">
        <w:rPr>
          <w:rFonts w:eastAsiaTheme="minorHAnsi"/>
          <w:sz w:val="28"/>
          <w:szCs w:val="28"/>
          <w:lang w:eastAsia="en-US"/>
        </w:rPr>
        <w:t>д.т.н.</w:t>
      </w:r>
      <w:r w:rsidR="005F1664" w:rsidRPr="005F1664">
        <w:rPr>
          <w:rFonts w:eastAsiaTheme="minorHAnsi"/>
          <w:sz w:val="28"/>
          <w:szCs w:val="28"/>
          <w:lang w:eastAsia="en-US"/>
        </w:rPr>
        <w:t xml:space="preserve">, </w:t>
      </w:r>
      <w:r w:rsidR="00603A01" w:rsidRPr="005F1664">
        <w:rPr>
          <w:rFonts w:eastAsiaTheme="minorHAnsi"/>
          <w:sz w:val="28"/>
          <w:szCs w:val="28"/>
          <w:lang w:eastAsia="en-US"/>
        </w:rPr>
        <w:t>Бадьина Л</w:t>
      </w:r>
      <w:r w:rsidR="005F1664" w:rsidRPr="005F1664">
        <w:rPr>
          <w:rFonts w:eastAsiaTheme="minorHAnsi"/>
          <w:sz w:val="28"/>
          <w:szCs w:val="28"/>
          <w:lang w:eastAsia="en-US"/>
        </w:rPr>
        <w:t>.</w:t>
      </w:r>
      <w:r w:rsidR="00603A01" w:rsidRPr="005F1664">
        <w:rPr>
          <w:rFonts w:eastAsiaTheme="minorHAnsi"/>
          <w:sz w:val="28"/>
          <w:szCs w:val="28"/>
          <w:lang w:eastAsia="en-US"/>
        </w:rPr>
        <w:t>Ю</w:t>
      </w:r>
      <w:r w:rsidR="005F1664" w:rsidRPr="005F1664">
        <w:rPr>
          <w:rFonts w:eastAsiaTheme="minorHAnsi"/>
          <w:sz w:val="28"/>
          <w:szCs w:val="28"/>
          <w:lang w:eastAsia="en-US"/>
        </w:rPr>
        <w:t xml:space="preserve">., </w:t>
      </w:r>
      <w:r w:rsidR="00603A01" w:rsidRPr="005F1664">
        <w:rPr>
          <w:rFonts w:eastAsiaTheme="minorHAnsi"/>
          <w:sz w:val="28"/>
          <w:szCs w:val="28"/>
          <w:lang w:eastAsia="en-US"/>
        </w:rPr>
        <w:t>Розененкова В</w:t>
      </w:r>
      <w:r w:rsidR="005F1664" w:rsidRPr="005F1664">
        <w:rPr>
          <w:rFonts w:eastAsiaTheme="minorHAnsi"/>
          <w:sz w:val="28"/>
          <w:szCs w:val="28"/>
          <w:lang w:eastAsia="en-US"/>
        </w:rPr>
        <w:t>.</w:t>
      </w:r>
      <w:r w:rsidR="00603A01" w:rsidRPr="005F1664">
        <w:rPr>
          <w:rFonts w:eastAsiaTheme="minorHAnsi"/>
          <w:sz w:val="28"/>
          <w:szCs w:val="28"/>
          <w:lang w:eastAsia="en-US"/>
        </w:rPr>
        <w:t>А</w:t>
      </w:r>
      <w:r w:rsidR="005F1664" w:rsidRPr="005F1664">
        <w:rPr>
          <w:rFonts w:eastAsiaTheme="minorHAnsi"/>
          <w:sz w:val="28"/>
          <w:szCs w:val="28"/>
          <w:lang w:eastAsia="en-US"/>
        </w:rPr>
        <w:t>.,</w:t>
      </w:r>
      <w:r w:rsidR="00603A01" w:rsidRPr="005F1664">
        <w:rPr>
          <w:rFonts w:eastAsiaTheme="minorHAnsi"/>
          <w:sz w:val="28"/>
          <w:szCs w:val="28"/>
          <w:lang w:eastAsia="en-US"/>
        </w:rPr>
        <w:t>к.т.н.</w:t>
      </w:r>
      <w:r w:rsidR="005F1664" w:rsidRPr="005F1664">
        <w:rPr>
          <w:rFonts w:eastAsiaTheme="minorHAnsi"/>
          <w:sz w:val="28"/>
          <w:szCs w:val="28"/>
          <w:lang w:eastAsia="en-US"/>
        </w:rPr>
        <w:t xml:space="preserve">, </w:t>
      </w:r>
      <w:r w:rsidR="00603A01" w:rsidRPr="005F1664">
        <w:rPr>
          <w:rFonts w:eastAsiaTheme="minorHAnsi"/>
          <w:sz w:val="28"/>
          <w:szCs w:val="28"/>
          <w:lang w:eastAsia="en-US"/>
        </w:rPr>
        <w:t>Шимкин А</w:t>
      </w:r>
      <w:r w:rsidR="005F1664" w:rsidRPr="005F1664">
        <w:rPr>
          <w:rFonts w:eastAsiaTheme="minorHAnsi"/>
          <w:sz w:val="28"/>
          <w:szCs w:val="28"/>
          <w:lang w:eastAsia="en-US"/>
        </w:rPr>
        <w:t>.</w:t>
      </w:r>
      <w:r w:rsidR="00603A01" w:rsidRPr="005F1664">
        <w:rPr>
          <w:rFonts w:eastAsiaTheme="minorHAnsi"/>
          <w:sz w:val="28"/>
          <w:szCs w:val="28"/>
          <w:lang w:eastAsia="en-US"/>
        </w:rPr>
        <w:t>А</w:t>
      </w:r>
      <w:r w:rsidR="005F1664" w:rsidRPr="005F1664">
        <w:rPr>
          <w:rFonts w:eastAsiaTheme="minorHAnsi"/>
          <w:sz w:val="28"/>
          <w:szCs w:val="28"/>
          <w:lang w:eastAsia="en-US"/>
        </w:rPr>
        <w:t xml:space="preserve">., </w:t>
      </w:r>
      <w:r w:rsidR="00603A01" w:rsidRPr="005F1664">
        <w:rPr>
          <w:rFonts w:eastAsiaTheme="minorHAnsi"/>
          <w:sz w:val="28"/>
          <w:szCs w:val="28"/>
          <w:lang w:eastAsia="en-US"/>
        </w:rPr>
        <w:t>к.х.н.</w:t>
      </w:r>
      <w:r w:rsidR="005F1664" w:rsidRPr="005F1664">
        <w:rPr>
          <w:rFonts w:eastAsiaTheme="minorHAnsi"/>
          <w:sz w:val="28"/>
          <w:szCs w:val="28"/>
          <w:lang w:eastAsia="en-US"/>
        </w:rPr>
        <w:t xml:space="preserve">, </w:t>
      </w:r>
      <w:r w:rsidR="00603A01" w:rsidRPr="005F1664">
        <w:rPr>
          <w:rFonts w:eastAsiaTheme="minorHAnsi"/>
          <w:sz w:val="28"/>
          <w:szCs w:val="28"/>
          <w:lang w:eastAsia="en-US"/>
        </w:rPr>
        <w:t>Хасков М</w:t>
      </w:r>
      <w:r w:rsidR="005F1664" w:rsidRPr="005F1664">
        <w:rPr>
          <w:rFonts w:eastAsiaTheme="minorHAnsi"/>
          <w:sz w:val="28"/>
          <w:szCs w:val="28"/>
          <w:lang w:eastAsia="en-US"/>
        </w:rPr>
        <w:t>.</w:t>
      </w:r>
      <w:r w:rsidR="00603A01" w:rsidRPr="005F1664">
        <w:rPr>
          <w:rFonts w:eastAsiaTheme="minorHAnsi"/>
          <w:sz w:val="28"/>
          <w:szCs w:val="28"/>
          <w:lang w:eastAsia="en-US"/>
        </w:rPr>
        <w:t>А</w:t>
      </w:r>
      <w:r w:rsidR="005F1664" w:rsidRPr="005F1664">
        <w:rPr>
          <w:rFonts w:eastAsiaTheme="minorHAnsi"/>
          <w:sz w:val="28"/>
          <w:szCs w:val="28"/>
          <w:lang w:eastAsia="en-US"/>
        </w:rPr>
        <w:t>.,</w:t>
      </w:r>
      <w:r w:rsidR="00603A01" w:rsidRPr="005F1664">
        <w:rPr>
          <w:rFonts w:eastAsiaTheme="minorHAnsi"/>
          <w:sz w:val="28"/>
          <w:szCs w:val="28"/>
          <w:lang w:eastAsia="en-US"/>
        </w:rPr>
        <w:t xml:space="preserve"> к.х.н.</w:t>
      </w:r>
      <w:r w:rsidR="005F1664" w:rsidRPr="005F1664">
        <w:rPr>
          <w:rFonts w:eastAsiaTheme="minorHAnsi"/>
          <w:sz w:val="28"/>
          <w:szCs w:val="28"/>
          <w:lang w:eastAsia="en-US"/>
        </w:rPr>
        <w:t xml:space="preserve">, </w:t>
      </w:r>
      <w:r w:rsidR="00E558B2" w:rsidRPr="005F1664">
        <w:rPr>
          <w:rFonts w:eastAsiaTheme="minorHAnsi"/>
          <w:sz w:val="28"/>
          <w:szCs w:val="28"/>
          <w:lang w:eastAsia="en-US"/>
        </w:rPr>
        <w:t>Механик Е</w:t>
      </w:r>
      <w:r w:rsidR="005F1664" w:rsidRPr="005F1664">
        <w:rPr>
          <w:rFonts w:eastAsiaTheme="minorHAnsi"/>
          <w:sz w:val="28"/>
          <w:szCs w:val="28"/>
          <w:lang w:eastAsia="en-US"/>
        </w:rPr>
        <w:t>.</w:t>
      </w:r>
      <w:r w:rsidR="00603A01" w:rsidRPr="005F1664">
        <w:rPr>
          <w:rFonts w:eastAsiaTheme="minorHAnsi"/>
          <w:sz w:val="28"/>
          <w:szCs w:val="28"/>
          <w:lang w:eastAsia="en-US"/>
        </w:rPr>
        <w:t>А</w:t>
      </w:r>
      <w:r w:rsidR="005F1664" w:rsidRPr="005F1664">
        <w:rPr>
          <w:rFonts w:eastAsiaTheme="minorHAnsi"/>
          <w:sz w:val="28"/>
          <w:szCs w:val="28"/>
          <w:lang w:eastAsia="en-US"/>
        </w:rPr>
        <w:t xml:space="preserve">., </w:t>
      </w:r>
      <w:r w:rsidR="00603A01" w:rsidRPr="005F1664">
        <w:rPr>
          <w:rFonts w:eastAsiaTheme="minorHAnsi"/>
          <w:sz w:val="28"/>
          <w:szCs w:val="28"/>
          <w:lang w:eastAsia="en-US"/>
        </w:rPr>
        <w:t>Журавлева П</w:t>
      </w:r>
      <w:r w:rsidR="005F1664" w:rsidRPr="005F1664">
        <w:rPr>
          <w:rFonts w:eastAsiaTheme="minorHAnsi"/>
          <w:sz w:val="28"/>
          <w:szCs w:val="28"/>
          <w:lang w:eastAsia="en-US"/>
        </w:rPr>
        <w:t>.</w:t>
      </w:r>
      <w:r w:rsidR="00603A01" w:rsidRPr="005F1664">
        <w:rPr>
          <w:rFonts w:eastAsiaTheme="minorHAnsi"/>
          <w:sz w:val="28"/>
          <w:szCs w:val="28"/>
          <w:lang w:eastAsia="en-US"/>
        </w:rPr>
        <w:t>Л</w:t>
      </w:r>
      <w:r w:rsidR="005F1664" w:rsidRPr="005F1664">
        <w:rPr>
          <w:rFonts w:eastAsiaTheme="minorHAnsi"/>
          <w:sz w:val="28"/>
          <w:szCs w:val="28"/>
          <w:lang w:eastAsia="en-US"/>
        </w:rPr>
        <w:t>.</w:t>
      </w:r>
    </w:p>
    <w:p w:rsidR="005F1664" w:rsidRPr="005F1664" w:rsidRDefault="005F1664" w:rsidP="005F1664">
      <w:pPr>
        <w:suppressAutoHyphens/>
        <w:spacing w:before="20" w:after="200" w:line="360" w:lineRule="auto"/>
        <w:contextualSpacing/>
        <w:jc w:val="both"/>
        <w:rPr>
          <w:rStyle w:val="a9"/>
          <w:rFonts w:eastAsiaTheme="minorHAnsi"/>
          <w:sz w:val="22"/>
          <w:szCs w:val="28"/>
          <w:lang w:val="en-US" w:eastAsia="en-US"/>
        </w:rPr>
      </w:pPr>
      <w:r w:rsidRPr="005F1664">
        <w:rPr>
          <w:rStyle w:val="a9"/>
          <w:rFonts w:eastAsiaTheme="minorHAnsi"/>
          <w:sz w:val="22"/>
          <w:szCs w:val="28"/>
          <w:lang w:eastAsia="en-US"/>
        </w:rPr>
        <w:t>admin</w:t>
      </w:r>
      <w:r w:rsidRPr="005F1664">
        <w:rPr>
          <w:rStyle w:val="a9"/>
          <w:rFonts w:eastAsiaTheme="minorHAnsi"/>
          <w:sz w:val="22"/>
          <w:szCs w:val="28"/>
          <w:lang w:val="en-US" w:eastAsia="en-US"/>
        </w:rPr>
        <w:t>@</w:t>
      </w:r>
      <w:r w:rsidRPr="005F1664">
        <w:rPr>
          <w:rStyle w:val="a9"/>
          <w:rFonts w:eastAsiaTheme="minorHAnsi"/>
          <w:sz w:val="22"/>
          <w:szCs w:val="28"/>
          <w:lang w:eastAsia="en-US"/>
        </w:rPr>
        <w:t>viam</w:t>
      </w:r>
      <w:r w:rsidRPr="005F1664">
        <w:rPr>
          <w:rStyle w:val="a9"/>
          <w:rFonts w:eastAsiaTheme="minorHAnsi"/>
          <w:sz w:val="22"/>
          <w:szCs w:val="28"/>
          <w:lang w:val="en-US" w:eastAsia="en-US"/>
        </w:rPr>
        <w:t>.</w:t>
      </w:r>
      <w:r w:rsidRPr="005F1664">
        <w:rPr>
          <w:rStyle w:val="a9"/>
          <w:rFonts w:eastAsiaTheme="minorHAnsi"/>
          <w:sz w:val="22"/>
          <w:szCs w:val="28"/>
          <w:lang w:eastAsia="en-US"/>
        </w:rPr>
        <w:t>ru</w:t>
      </w:r>
    </w:p>
    <w:p w:rsidR="00BC51EE" w:rsidRPr="005F1664" w:rsidRDefault="005F1664" w:rsidP="005F1664">
      <w:pPr>
        <w:suppressAutoHyphens/>
        <w:spacing w:before="20" w:after="200" w:line="360" w:lineRule="auto"/>
        <w:contextualSpacing/>
        <w:jc w:val="both"/>
        <w:rPr>
          <w:rFonts w:eastAsiaTheme="minorHAnsi"/>
          <w:i/>
          <w:sz w:val="28"/>
          <w:szCs w:val="28"/>
          <w:lang w:eastAsia="en-US"/>
        </w:rPr>
      </w:pPr>
      <w:r w:rsidRPr="005F1664">
        <w:rPr>
          <w:rFonts w:eastAsiaTheme="minorHAnsi"/>
          <w:i/>
          <w:sz w:val="28"/>
          <w:szCs w:val="28"/>
          <w:lang w:eastAsia="en-US"/>
        </w:rPr>
        <w:t>Федеральное государственное унитарное предприятие «Всероссийский научно-исследовательский институт авиационных материалов», г.</w:t>
      </w:r>
      <w:r w:rsidR="00BC51EE" w:rsidRPr="005F1664">
        <w:rPr>
          <w:rFonts w:eastAsiaTheme="minorHAnsi"/>
          <w:i/>
          <w:sz w:val="28"/>
          <w:szCs w:val="28"/>
          <w:lang w:eastAsia="en-US"/>
        </w:rPr>
        <w:t xml:space="preserve"> Москва</w:t>
      </w:r>
    </w:p>
    <w:p w:rsidR="00603A01" w:rsidRDefault="00603A01" w:rsidP="005F1664">
      <w:pPr>
        <w:suppressAutoHyphens/>
        <w:spacing w:line="360" w:lineRule="auto"/>
        <w:jc w:val="center"/>
        <w:rPr>
          <w:szCs w:val="28"/>
        </w:rPr>
      </w:pPr>
    </w:p>
    <w:p w:rsidR="00603A01" w:rsidRPr="005F1664" w:rsidRDefault="00603A01" w:rsidP="005F1664">
      <w:pPr>
        <w:suppressAutoHyphens/>
        <w:spacing w:before="20" w:after="200" w:line="360" w:lineRule="auto"/>
        <w:ind w:firstLine="709"/>
        <w:contextualSpacing/>
        <w:jc w:val="both"/>
        <w:rPr>
          <w:rFonts w:eastAsiaTheme="minorHAnsi"/>
          <w:b/>
          <w:i/>
          <w:sz w:val="28"/>
          <w:szCs w:val="28"/>
          <w:lang w:eastAsia="en-US"/>
        </w:rPr>
      </w:pPr>
      <w:r w:rsidRPr="005F1664">
        <w:rPr>
          <w:rFonts w:eastAsiaTheme="minorHAnsi"/>
          <w:b/>
          <w:i/>
          <w:sz w:val="28"/>
          <w:szCs w:val="28"/>
          <w:lang w:eastAsia="en-US"/>
        </w:rPr>
        <w:t>Аннотация</w:t>
      </w:r>
      <w:r w:rsidR="005F1664" w:rsidRPr="005F1664">
        <w:rPr>
          <w:rFonts w:eastAsiaTheme="minorHAnsi"/>
          <w:b/>
          <w:i/>
          <w:sz w:val="28"/>
          <w:szCs w:val="28"/>
          <w:lang w:eastAsia="en-US"/>
        </w:rPr>
        <w:t>:</w:t>
      </w:r>
    </w:p>
    <w:p w:rsidR="00324F18" w:rsidRDefault="00324F18" w:rsidP="005F1664">
      <w:pPr>
        <w:suppressAutoHyphens/>
        <w:spacing w:before="20" w:after="200" w:line="360" w:lineRule="auto"/>
        <w:ind w:firstLine="709"/>
        <w:contextualSpacing/>
        <w:jc w:val="both"/>
        <w:rPr>
          <w:rFonts w:eastAsiaTheme="minorHAnsi"/>
          <w:sz w:val="28"/>
          <w:szCs w:val="28"/>
          <w:lang w:eastAsia="en-US"/>
        </w:rPr>
      </w:pPr>
      <w:r w:rsidRPr="005F1664">
        <w:rPr>
          <w:rFonts w:eastAsiaTheme="minorHAnsi"/>
          <w:sz w:val="28"/>
          <w:szCs w:val="28"/>
          <w:lang w:eastAsia="en-US"/>
        </w:rPr>
        <w:t>Исследованы полимерные керамообразующие композиции на основе поликарбосилана и 2,2'-диаллилбисфенола-А с различным массовым соотношением исходных компонентов. На основании данных, полученных с и</w:t>
      </w:r>
      <w:r w:rsidRPr="005F1664">
        <w:rPr>
          <w:rFonts w:eastAsiaTheme="minorHAnsi"/>
          <w:sz w:val="28"/>
          <w:szCs w:val="28"/>
          <w:lang w:eastAsia="en-US"/>
        </w:rPr>
        <w:t>с</w:t>
      </w:r>
      <w:r w:rsidRPr="005F1664">
        <w:rPr>
          <w:rFonts w:eastAsiaTheme="minorHAnsi"/>
          <w:sz w:val="28"/>
          <w:szCs w:val="28"/>
          <w:lang w:eastAsia="en-US"/>
        </w:rPr>
        <w:t>по</w:t>
      </w:r>
      <w:r w:rsidR="00A30A73" w:rsidRPr="005F1664">
        <w:rPr>
          <w:rFonts w:eastAsiaTheme="minorHAnsi"/>
          <w:sz w:val="28"/>
          <w:szCs w:val="28"/>
          <w:lang w:eastAsia="en-US"/>
        </w:rPr>
        <w:t>льзованием</w:t>
      </w:r>
      <w:r w:rsidRPr="005F1664">
        <w:rPr>
          <w:rFonts w:eastAsiaTheme="minorHAnsi"/>
          <w:sz w:val="28"/>
          <w:szCs w:val="28"/>
          <w:lang w:eastAsia="en-US"/>
        </w:rPr>
        <w:t xml:space="preserve"> синхронного термического анализа (СТА) и инфракрасной (ИК) спектроскопии, показано химическое взаимодействие между исходными компонентами смеси в интервале температуры 100 – 400 °С, привод</w:t>
      </w:r>
      <w:r w:rsidRPr="005F1664">
        <w:rPr>
          <w:rFonts w:eastAsiaTheme="minorHAnsi"/>
          <w:sz w:val="28"/>
          <w:szCs w:val="28"/>
          <w:lang w:eastAsia="en-US"/>
        </w:rPr>
        <w:t>я</w:t>
      </w:r>
      <w:r w:rsidRPr="005F1664">
        <w:rPr>
          <w:rFonts w:eastAsiaTheme="minorHAnsi"/>
          <w:sz w:val="28"/>
          <w:szCs w:val="28"/>
          <w:lang w:eastAsia="en-US"/>
        </w:rPr>
        <w:t>щее к образованию сшитого высокомолекулярного продукта. Выбран температурный режим термообработки керамообразующих композиций, позволя</w:t>
      </w:r>
      <w:r w:rsidRPr="005F1664">
        <w:rPr>
          <w:rFonts w:eastAsiaTheme="minorHAnsi"/>
          <w:sz w:val="28"/>
          <w:szCs w:val="28"/>
          <w:lang w:eastAsia="en-US"/>
        </w:rPr>
        <w:t>ю</w:t>
      </w:r>
      <w:r w:rsidRPr="005F1664">
        <w:rPr>
          <w:rFonts w:eastAsiaTheme="minorHAnsi"/>
          <w:sz w:val="28"/>
          <w:szCs w:val="28"/>
          <w:lang w:eastAsia="en-US"/>
        </w:rPr>
        <w:t>щий получать в инертной среде матрицы с содержанием сшитого полимера до 70 % мас. Методом СТА определены температурные интервалы пиролиза отвержденных композиций, и установлена возмо</w:t>
      </w:r>
      <w:r w:rsidRPr="005F1664">
        <w:rPr>
          <w:rFonts w:eastAsiaTheme="minorHAnsi"/>
          <w:sz w:val="28"/>
          <w:szCs w:val="28"/>
          <w:lang w:eastAsia="en-US"/>
        </w:rPr>
        <w:t>ж</w:t>
      </w:r>
      <w:r w:rsidRPr="005F1664">
        <w:rPr>
          <w:rFonts w:eastAsiaTheme="minorHAnsi"/>
          <w:sz w:val="28"/>
          <w:szCs w:val="28"/>
          <w:lang w:eastAsia="en-US"/>
        </w:rPr>
        <w:t>ность повышения при этом выхода керамической матрицы на 30 % по сравнению с чистым поликарбосиланом. Предварительная оценка термоокислительной устойчивости керамических продуктов пиролиза по результатам СТА, проведенного на воздухе, показала, что изменение массы образцов композиций до 1200 °С составляет не более 0,1 % незав</w:t>
      </w:r>
      <w:r w:rsidRPr="005F1664">
        <w:rPr>
          <w:rFonts w:eastAsiaTheme="minorHAnsi"/>
          <w:sz w:val="28"/>
          <w:szCs w:val="28"/>
          <w:lang w:eastAsia="en-US"/>
        </w:rPr>
        <w:t>и</w:t>
      </w:r>
      <w:r w:rsidRPr="005F1664">
        <w:rPr>
          <w:rFonts w:eastAsiaTheme="minorHAnsi"/>
          <w:sz w:val="28"/>
          <w:szCs w:val="28"/>
          <w:lang w:eastAsia="en-US"/>
        </w:rPr>
        <w:t>симо от их со</w:t>
      </w:r>
      <w:r w:rsidR="005F1664">
        <w:rPr>
          <w:rFonts w:eastAsiaTheme="minorHAnsi"/>
          <w:sz w:val="28"/>
          <w:szCs w:val="28"/>
          <w:lang w:eastAsia="en-US"/>
        </w:rPr>
        <w:t>става</w:t>
      </w:r>
    </w:p>
    <w:p w:rsidR="005F1664" w:rsidRDefault="005F1664" w:rsidP="005F1664">
      <w:pPr>
        <w:suppressAutoHyphens/>
        <w:spacing w:before="20" w:after="200" w:line="360" w:lineRule="auto"/>
        <w:ind w:firstLine="709"/>
        <w:contextualSpacing/>
        <w:jc w:val="both"/>
        <w:rPr>
          <w:rFonts w:eastAsiaTheme="minorHAnsi"/>
          <w:sz w:val="28"/>
          <w:szCs w:val="28"/>
          <w:lang w:eastAsia="en-US"/>
        </w:rPr>
      </w:pPr>
    </w:p>
    <w:p w:rsidR="005F1664" w:rsidRDefault="005F1664" w:rsidP="005F1664">
      <w:pPr>
        <w:suppressAutoHyphens/>
        <w:spacing w:before="20" w:after="200" w:line="360" w:lineRule="auto"/>
        <w:ind w:firstLine="709"/>
        <w:contextualSpacing/>
        <w:jc w:val="both"/>
        <w:rPr>
          <w:rFonts w:eastAsiaTheme="minorHAnsi"/>
          <w:sz w:val="28"/>
          <w:szCs w:val="28"/>
          <w:lang w:eastAsia="en-US"/>
        </w:rPr>
      </w:pPr>
    </w:p>
    <w:p w:rsidR="005F1664" w:rsidRPr="005F1664" w:rsidRDefault="005F1664" w:rsidP="005F1664">
      <w:pPr>
        <w:suppressAutoHyphens/>
        <w:spacing w:before="20" w:after="200" w:line="360" w:lineRule="auto"/>
        <w:ind w:firstLine="709"/>
        <w:contextualSpacing/>
        <w:jc w:val="both"/>
        <w:rPr>
          <w:rFonts w:eastAsiaTheme="minorHAnsi"/>
          <w:sz w:val="28"/>
          <w:szCs w:val="28"/>
          <w:lang w:eastAsia="en-US"/>
        </w:rPr>
      </w:pPr>
    </w:p>
    <w:p w:rsidR="005F1664" w:rsidRPr="005F1664" w:rsidRDefault="00603A01" w:rsidP="005F1664">
      <w:pPr>
        <w:suppressAutoHyphens/>
        <w:spacing w:line="360" w:lineRule="auto"/>
        <w:ind w:firstLine="709"/>
        <w:jc w:val="both"/>
        <w:rPr>
          <w:i/>
          <w:color w:val="000000"/>
          <w:sz w:val="28"/>
        </w:rPr>
      </w:pPr>
      <w:r w:rsidRPr="005F1664">
        <w:rPr>
          <w:b/>
          <w:i/>
          <w:sz w:val="28"/>
        </w:rPr>
        <w:lastRenderedPageBreak/>
        <w:t>Ключевые слова</w:t>
      </w:r>
      <w:r w:rsidR="005E04AF" w:rsidRPr="005F1664">
        <w:rPr>
          <w:b/>
          <w:i/>
          <w:sz w:val="28"/>
        </w:rPr>
        <w:t>:</w:t>
      </w:r>
      <w:r w:rsidR="005E04AF" w:rsidRPr="005F1664">
        <w:rPr>
          <w:i/>
          <w:color w:val="000000"/>
          <w:sz w:val="28"/>
        </w:rPr>
        <w:t xml:space="preserve"> </w:t>
      </w:r>
    </w:p>
    <w:p w:rsidR="00603A01" w:rsidRPr="005F1664" w:rsidRDefault="005E04AF" w:rsidP="005F1664">
      <w:pPr>
        <w:suppressAutoHyphens/>
        <w:spacing w:before="20" w:after="200" w:line="360" w:lineRule="auto"/>
        <w:ind w:firstLine="709"/>
        <w:contextualSpacing/>
        <w:jc w:val="both"/>
        <w:rPr>
          <w:rFonts w:eastAsiaTheme="minorHAnsi"/>
          <w:sz w:val="28"/>
          <w:szCs w:val="28"/>
          <w:lang w:eastAsia="en-US"/>
        </w:rPr>
      </w:pPr>
      <w:r w:rsidRPr="005F1664">
        <w:rPr>
          <w:rFonts w:eastAsiaTheme="minorHAnsi"/>
          <w:sz w:val="28"/>
          <w:szCs w:val="28"/>
          <w:lang w:eastAsia="en-US"/>
        </w:rPr>
        <w:t>керамообразующие прекурсоры, поликарбосилан, олигосилазан, олигоэфиракрилат, 2,2′-диаллилбисфенол,</w:t>
      </w:r>
      <w:r w:rsidR="002D2633" w:rsidRPr="005F1664">
        <w:rPr>
          <w:rFonts w:eastAsiaTheme="minorHAnsi"/>
          <w:sz w:val="28"/>
          <w:szCs w:val="28"/>
          <w:lang w:eastAsia="en-US"/>
        </w:rPr>
        <w:t xml:space="preserve"> </w:t>
      </w:r>
      <w:r w:rsidRPr="005F1664">
        <w:rPr>
          <w:rFonts w:eastAsiaTheme="minorHAnsi"/>
          <w:sz w:val="28"/>
          <w:szCs w:val="28"/>
          <w:lang w:eastAsia="en-US"/>
        </w:rPr>
        <w:t>отверждение, пиролиз, керамическая матрица, аморфный ка</w:t>
      </w:r>
      <w:r w:rsidRPr="005F1664">
        <w:rPr>
          <w:rFonts w:eastAsiaTheme="minorHAnsi"/>
          <w:sz w:val="28"/>
          <w:szCs w:val="28"/>
          <w:lang w:eastAsia="en-US"/>
        </w:rPr>
        <w:t>р</w:t>
      </w:r>
      <w:r w:rsidRPr="005F1664">
        <w:rPr>
          <w:rFonts w:eastAsiaTheme="minorHAnsi"/>
          <w:sz w:val="28"/>
          <w:szCs w:val="28"/>
          <w:lang w:eastAsia="en-US"/>
        </w:rPr>
        <w:t>бид кремния</w:t>
      </w:r>
      <w:r w:rsidR="00603A01" w:rsidRPr="005F1664">
        <w:rPr>
          <w:rFonts w:eastAsiaTheme="minorHAnsi"/>
          <w:sz w:val="28"/>
          <w:szCs w:val="28"/>
          <w:lang w:eastAsia="en-US"/>
        </w:rPr>
        <w:t xml:space="preserve"> </w:t>
      </w:r>
    </w:p>
    <w:p w:rsidR="005F1664" w:rsidRPr="00324F18" w:rsidRDefault="005F1664" w:rsidP="005F1664">
      <w:pPr>
        <w:suppressAutoHyphens/>
        <w:spacing w:line="360" w:lineRule="auto"/>
        <w:ind w:firstLine="709"/>
        <w:jc w:val="both"/>
        <w:rPr>
          <w:b/>
        </w:rPr>
      </w:pPr>
    </w:p>
    <w:p w:rsidR="00BC51EE" w:rsidRPr="005F1664" w:rsidRDefault="005F1664" w:rsidP="005F1664">
      <w:pPr>
        <w:suppressAutoHyphens/>
        <w:spacing w:line="360" w:lineRule="auto"/>
        <w:ind w:firstLine="709"/>
        <w:jc w:val="both"/>
        <w:rPr>
          <w:b/>
          <w:i/>
          <w:sz w:val="28"/>
        </w:rPr>
      </w:pPr>
      <w:r w:rsidRPr="005F1664">
        <w:rPr>
          <w:b/>
          <w:i/>
          <w:sz w:val="28"/>
        </w:rPr>
        <w:t>A</w:t>
      </w:r>
      <w:r>
        <w:rPr>
          <w:b/>
          <w:i/>
          <w:sz w:val="28"/>
          <w:lang w:val="en-US"/>
        </w:rPr>
        <w:t>b</w:t>
      </w:r>
      <w:r w:rsidRPr="005F1664">
        <w:rPr>
          <w:b/>
          <w:i/>
          <w:sz w:val="28"/>
        </w:rPr>
        <w:t>stract:</w:t>
      </w:r>
    </w:p>
    <w:p w:rsidR="00BC51EE" w:rsidRPr="005F1664" w:rsidRDefault="00BC51EE" w:rsidP="005F1664">
      <w:pPr>
        <w:suppressAutoHyphens/>
        <w:spacing w:before="20" w:after="200" w:line="360" w:lineRule="auto"/>
        <w:ind w:firstLine="709"/>
        <w:contextualSpacing/>
        <w:jc w:val="both"/>
        <w:rPr>
          <w:rFonts w:eastAsiaTheme="minorHAnsi"/>
          <w:sz w:val="28"/>
          <w:szCs w:val="28"/>
          <w:lang w:eastAsia="en-US"/>
        </w:rPr>
      </w:pPr>
      <w:r w:rsidRPr="005F1664">
        <w:rPr>
          <w:rFonts w:eastAsiaTheme="minorHAnsi"/>
          <w:sz w:val="28"/>
          <w:szCs w:val="28"/>
          <w:lang w:eastAsia="en-US"/>
        </w:rPr>
        <w:t>It was shon It is shown that application of some polireaktsionnosposobny kremniyorganichesky and organic connections allows to carry out process of an otverzhdeniye polikarbosil</w:t>
      </w:r>
      <w:r w:rsidRPr="005F1664">
        <w:rPr>
          <w:rFonts w:eastAsiaTheme="minorHAnsi"/>
          <w:sz w:val="28"/>
          <w:szCs w:val="28"/>
          <w:lang w:eastAsia="en-US"/>
        </w:rPr>
        <w:t>a</w:t>
      </w:r>
      <w:r w:rsidRPr="005F1664">
        <w:rPr>
          <w:rFonts w:eastAsiaTheme="minorHAnsi"/>
          <w:sz w:val="28"/>
          <w:szCs w:val="28"/>
          <w:lang w:eastAsia="en-US"/>
        </w:rPr>
        <w:t>novy binding in the inert environment. On the basis of results of the research which has been carried out with attraction of methods of the thermogra</w:t>
      </w:r>
      <w:r w:rsidR="009538E9" w:rsidRPr="005F1664">
        <w:rPr>
          <w:rFonts w:eastAsiaTheme="minorHAnsi"/>
          <w:sz w:val="28"/>
          <w:szCs w:val="28"/>
          <w:lang w:eastAsia="en-US"/>
        </w:rPr>
        <w:t>vimetric analysis (TGA)</w:t>
      </w:r>
      <w:r w:rsidRPr="005F1664">
        <w:rPr>
          <w:rFonts w:eastAsiaTheme="minorHAnsi"/>
          <w:sz w:val="28"/>
          <w:szCs w:val="28"/>
          <w:lang w:eastAsia="en-US"/>
        </w:rPr>
        <w:t>, the rentgenofazovy analysis (RFA) and an ekstraktsiya, it is established that otverzhdenny binding are products of interaction of initial components. Further pyrolysis leads to formation of the inorganic matrixes, which exit in 1,3 times above, than an exit пиролизатов initial components</w:t>
      </w:r>
    </w:p>
    <w:p w:rsidR="005F1664" w:rsidRPr="005F1664" w:rsidRDefault="00603A01" w:rsidP="005F1664">
      <w:pPr>
        <w:suppressAutoHyphens/>
        <w:spacing w:line="360" w:lineRule="auto"/>
        <w:ind w:firstLine="709"/>
        <w:jc w:val="both"/>
        <w:rPr>
          <w:b/>
          <w:i/>
          <w:sz w:val="28"/>
        </w:rPr>
      </w:pPr>
      <w:r w:rsidRPr="005F1664">
        <w:rPr>
          <w:b/>
          <w:i/>
          <w:sz w:val="28"/>
        </w:rPr>
        <w:t xml:space="preserve">Key words: </w:t>
      </w:r>
    </w:p>
    <w:p w:rsidR="00603A01" w:rsidRPr="005F1664" w:rsidRDefault="00603A01" w:rsidP="005F1664">
      <w:pPr>
        <w:suppressAutoHyphens/>
        <w:spacing w:before="20" w:after="200" w:line="360" w:lineRule="auto"/>
        <w:ind w:firstLine="709"/>
        <w:contextualSpacing/>
        <w:jc w:val="both"/>
        <w:rPr>
          <w:rFonts w:eastAsiaTheme="minorHAnsi"/>
          <w:sz w:val="28"/>
          <w:szCs w:val="28"/>
          <w:lang w:eastAsia="en-US"/>
        </w:rPr>
      </w:pPr>
      <w:r w:rsidRPr="005F1664">
        <w:rPr>
          <w:rFonts w:eastAsiaTheme="minorHAnsi"/>
          <w:sz w:val="28"/>
          <w:szCs w:val="28"/>
          <w:lang w:eastAsia="en-US"/>
        </w:rPr>
        <w:t>ceramic precursors, polycarbosilane, oligosilazane, cure, pyrolysis, ceramic matrixs, amorphous silicon carbide</w:t>
      </w:r>
    </w:p>
    <w:p w:rsidR="00924998" w:rsidRPr="002D2633" w:rsidRDefault="00924998" w:rsidP="005F1664">
      <w:pPr>
        <w:suppressAutoHyphens/>
        <w:spacing w:line="360" w:lineRule="auto"/>
        <w:ind w:firstLine="709"/>
        <w:jc w:val="both"/>
        <w:rPr>
          <w:color w:val="000000"/>
          <w:lang w:val="en-US"/>
        </w:rPr>
      </w:pPr>
    </w:p>
    <w:p w:rsidR="003427EF" w:rsidRPr="005F1664" w:rsidRDefault="00924998" w:rsidP="005F1664">
      <w:pPr>
        <w:suppressAutoHyphens/>
        <w:spacing w:line="360" w:lineRule="auto"/>
        <w:ind w:firstLine="709"/>
        <w:jc w:val="both"/>
        <w:rPr>
          <w:sz w:val="28"/>
        </w:rPr>
      </w:pPr>
      <w:r w:rsidRPr="005F1664">
        <w:rPr>
          <w:sz w:val="28"/>
        </w:rPr>
        <w:t xml:space="preserve">В настоящей работе </w:t>
      </w:r>
      <w:r w:rsidR="003427EF" w:rsidRPr="005F1664">
        <w:rPr>
          <w:sz w:val="28"/>
        </w:rPr>
        <w:t>была исследована реакционная способность низкомолекуляр</w:t>
      </w:r>
      <w:r w:rsidRPr="005F1664">
        <w:rPr>
          <w:sz w:val="28"/>
        </w:rPr>
        <w:t>ного</w:t>
      </w:r>
      <w:r w:rsidR="003427EF" w:rsidRPr="005F1664">
        <w:rPr>
          <w:sz w:val="28"/>
        </w:rPr>
        <w:t xml:space="preserve"> дифункциональ</w:t>
      </w:r>
      <w:r w:rsidRPr="005F1664">
        <w:rPr>
          <w:sz w:val="28"/>
        </w:rPr>
        <w:t>ного соединения</w:t>
      </w:r>
      <w:r w:rsidR="003427EF" w:rsidRPr="005F1664">
        <w:rPr>
          <w:sz w:val="28"/>
        </w:rPr>
        <w:t>: 2,2'-диаллил</w:t>
      </w:r>
      <w:r w:rsidRPr="005F1664">
        <w:rPr>
          <w:sz w:val="28"/>
        </w:rPr>
        <w:t xml:space="preserve">бисфенола А (ДБА) </w:t>
      </w:r>
      <w:r w:rsidR="003427EF" w:rsidRPr="005F1664">
        <w:rPr>
          <w:sz w:val="28"/>
        </w:rPr>
        <w:t>в процессе отверждения керамообразующих полимерных композиций на основе поликарбосилана (ПКС) в бескислородной среде.</w:t>
      </w:r>
    </w:p>
    <w:p w:rsidR="00324F18" w:rsidRPr="005F1664" w:rsidRDefault="00324F18" w:rsidP="005F1664">
      <w:pPr>
        <w:suppressAutoHyphens/>
        <w:spacing w:line="360" w:lineRule="auto"/>
        <w:ind w:firstLine="709"/>
        <w:jc w:val="both"/>
        <w:rPr>
          <w:sz w:val="28"/>
        </w:rPr>
      </w:pPr>
      <w:r w:rsidRPr="005F1664">
        <w:rPr>
          <w:sz w:val="28"/>
        </w:rPr>
        <w:t xml:space="preserve">Поликарбосилан представляет собой кремнийорганический олигомер молекулы которого имеют разветвленное циклолинейное строение и содержат до 1 % мас. реакционноспособных гидридных групп (Si-H – групп) (формула </w:t>
      </w:r>
      <w:r w:rsidRPr="005F1664">
        <w:rPr>
          <w:sz w:val="28"/>
          <w:lang w:val="en-US"/>
        </w:rPr>
        <w:t>I</w:t>
      </w:r>
      <w:r w:rsidRPr="005F1664">
        <w:rPr>
          <w:sz w:val="28"/>
        </w:rPr>
        <w:t>):</w:t>
      </w:r>
    </w:p>
    <w:p w:rsidR="00324F18" w:rsidRDefault="00324F18" w:rsidP="005F1664">
      <w:pPr>
        <w:suppressAutoHyphens/>
        <w:spacing w:line="360" w:lineRule="auto"/>
        <w:ind w:firstLine="709"/>
        <w:jc w:val="both"/>
      </w:pPr>
    </w:p>
    <w:p w:rsidR="00324F18" w:rsidRPr="00E923C5" w:rsidRDefault="00324F18" w:rsidP="005F1664">
      <w:pPr>
        <w:suppressAutoHyphens/>
        <w:spacing w:line="360" w:lineRule="auto"/>
        <w:ind w:firstLine="708"/>
        <w:jc w:val="center"/>
        <w:rPr>
          <w:lang w:val="en-US"/>
        </w:rPr>
      </w:pPr>
      <w:r>
        <w:rPr>
          <w:noProof/>
        </w:rPr>
        <w:lastRenderedPageBreak/>
        <w:drawing>
          <wp:inline distT="0" distB="0" distL="0" distR="0">
            <wp:extent cx="2667359" cy="1562100"/>
            <wp:effectExtent l="0" t="0" r="0" b="0"/>
            <wp:docPr id="1" name="Рисунок 1" descr="\\SERVERUF\Work\Лаборатория 12\Швец_Н\ПКС (структур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UF\Work\Лаборатория 12\Швец_Н\ПКС (структура).t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3680" cy="1559946"/>
                    </a:xfrm>
                    <a:prstGeom prst="rect">
                      <a:avLst/>
                    </a:prstGeom>
                    <a:noFill/>
                    <a:ln>
                      <a:noFill/>
                    </a:ln>
                  </pic:spPr>
                </pic:pic>
              </a:graphicData>
            </a:graphic>
          </wp:inline>
        </w:drawing>
      </w:r>
    </w:p>
    <w:p w:rsidR="00324F18" w:rsidRDefault="00324F18" w:rsidP="005F1664">
      <w:pPr>
        <w:suppressAutoHyphens/>
        <w:spacing w:line="360" w:lineRule="auto"/>
        <w:jc w:val="center"/>
      </w:pPr>
      <w:r>
        <w:t xml:space="preserve">Формула </w:t>
      </w:r>
      <w:r>
        <w:rPr>
          <w:lang w:val="en-US"/>
        </w:rPr>
        <w:t>I</w:t>
      </w:r>
      <w:r w:rsidR="00976153">
        <w:t>.</w:t>
      </w:r>
      <w:r w:rsidRPr="006737F2">
        <w:t xml:space="preserve"> </w:t>
      </w:r>
      <w:r>
        <w:t>Структурная фор</w:t>
      </w:r>
      <w:bookmarkStart w:id="0" w:name="_GoBack"/>
      <w:bookmarkEnd w:id="0"/>
      <w:r>
        <w:t>мула поликарбосилана.</w:t>
      </w:r>
    </w:p>
    <w:p w:rsidR="00324F18" w:rsidRPr="005F1664" w:rsidRDefault="00324F18" w:rsidP="005F1664">
      <w:pPr>
        <w:suppressAutoHyphens/>
        <w:spacing w:line="360" w:lineRule="auto"/>
        <w:ind w:firstLine="709"/>
        <w:jc w:val="both"/>
        <w:rPr>
          <w:sz w:val="28"/>
        </w:rPr>
      </w:pPr>
      <w:r w:rsidRPr="005F1664">
        <w:rPr>
          <w:sz w:val="28"/>
        </w:rPr>
        <w:t>Высокая реакционная способность Si-H – групп в реакциях гидросилилирования с соединениями, содержащими ненасыщенные связи, позволяет использовать ди- и более функциональные соединения, включающие в состав своих молекул связи C=C, в качестве сшивающих агентов для поликарбосилана, с целью получения сшитого высокомолекулярного продукта, дающего в процессе последующего пиролиза высокий выход керамического остатка с низким содержанием кислорода.</w:t>
      </w:r>
    </w:p>
    <w:p w:rsidR="00324F18" w:rsidRPr="005F1664" w:rsidRDefault="00324F18" w:rsidP="005F1664">
      <w:pPr>
        <w:suppressAutoHyphens/>
        <w:spacing w:line="360" w:lineRule="auto"/>
        <w:ind w:firstLine="709"/>
        <w:jc w:val="both"/>
        <w:rPr>
          <w:sz w:val="28"/>
        </w:rPr>
      </w:pPr>
      <w:r w:rsidRPr="005F1664">
        <w:rPr>
          <w:sz w:val="28"/>
        </w:rPr>
        <w:t>В работе использовали:</w:t>
      </w:r>
    </w:p>
    <w:p w:rsidR="00324F18" w:rsidRPr="005F1664" w:rsidRDefault="00324F18" w:rsidP="005F1664">
      <w:pPr>
        <w:suppressAutoHyphens/>
        <w:spacing w:line="360" w:lineRule="auto"/>
        <w:ind w:firstLine="709"/>
        <w:jc w:val="both"/>
        <w:rPr>
          <w:sz w:val="28"/>
        </w:rPr>
      </w:pPr>
      <w:r w:rsidRPr="005F1664">
        <w:rPr>
          <w:sz w:val="28"/>
        </w:rPr>
        <w:t>– поликарбосилан (ПКС) «ПКС-М» производства ФГУП «ГНИИХТЭОС» - твердое вещество, содержащее Si – 49,78 % мас., Si-H групп – 0,70 % мас.; увеличение массы при нагревании на воздухе до 200 °С – 14,56 %;</w:t>
      </w:r>
    </w:p>
    <w:p w:rsidR="00324F18" w:rsidRPr="005F1664" w:rsidRDefault="00324F18" w:rsidP="005F1664">
      <w:pPr>
        <w:suppressAutoHyphens/>
        <w:spacing w:line="360" w:lineRule="auto"/>
        <w:ind w:firstLine="709"/>
        <w:jc w:val="both"/>
        <w:rPr>
          <w:sz w:val="28"/>
        </w:rPr>
      </w:pPr>
      <w:r w:rsidRPr="005F1664">
        <w:rPr>
          <w:rFonts w:ascii="Calibri" w:hAnsi="Calibri"/>
          <w:sz w:val="28"/>
        </w:rPr>
        <w:t>−</w:t>
      </w:r>
      <w:r w:rsidRPr="005F1664">
        <w:rPr>
          <w:sz w:val="28"/>
        </w:rPr>
        <w:t xml:space="preserve"> 2,2’-диаллилбисфенол-А (ДБА) (формула </w:t>
      </w:r>
      <w:r w:rsidRPr="005F1664">
        <w:rPr>
          <w:sz w:val="28"/>
          <w:lang w:val="en-US"/>
        </w:rPr>
        <w:t>II</w:t>
      </w:r>
      <w:r w:rsidRPr="005F1664">
        <w:rPr>
          <w:sz w:val="28"/>
        </w:rPr>
        <w:t xml:space="preserve">), </w:t>
      </w:r>
      <w:r w:rsidRPr="005F1664">
        <w:rPr>
          <w:sz w:val="28"/>
          <w:lang w:val="en-US"/>
        </w:rPr>
        <w:t>CAS</w:t>
      </w:r>
      <w:r w:rsidRPr="005F1664">
        <w:rPr>
          <w:sz w:val="28"/>
        </w:rPr>
        <w:t xml:space="preserve"> </w:t>
      </w:r>
      <w:r w:rsidRPr="005F1664">
        <w:rPr>
          <w:sz w:val="28"/>
          <w:lang w:val="en-US"/>
        </w:rPr>
        <w:t>No</w:t>
      </w:r>
      <w:r w:rsidRPr="005F1664">
        <w:rPr>
          <w:sz w:val="28"/>
        </w:rPr>
        <w:t>: 1745-89-7, «</w:t>
      </w:r>
      <w:r w:rsidRPr="005F1664">
        <w:rPr>
          <w:sz w:val="28"/>
          <w:lang w:val="en-US"/>
        </w:rPr>
        <w:t>Compimide</w:t>
      </w:r>
      <w:r w:rsidRPr="005F1664">
        <w:rPr>
          <w:sz w:val="28"/>
        </w:rPr>
        <w:t>® TM124» производства Evonik Industries AG (Германия) – прозрачная светло-желтая вязкая жидкость. Содержание основного вещества составляет не менее 85 %. Содержание [СН</w:t>
      </w:r>
      <w:r w:rsidRPr="005F1664">
        <w:rPr>
          <w:sz w:val="28"/>
          <w:vertAlign w:val="subscript"/>
        </w:rPr>
        <w:t>2</w:t>
      </w:r>
      <w:r w:rsidRPr="005F1664">
        <w:rPr>
          <w:sz w:val="28"/>
        </w:rPr>
        <w:t>=СН-] – групп – 1,25 моль на 100 г продукта;</w:t>
      </w:r>
    </w:p>
    <w:p w:rsidR="00324F18" w:rsidRDefault="00324F18" w:rsidP="005F1664">
      <w:pPr>
        <w:suppressAutoHyphens/>
        <w:spacing w:line="360" w:lineRule="auto"/>
        <w:jc w:val="center"/>
      </w:pPr>
      <w:r>
        <w:rPr>
          <w:noProof/>
        </w:rPr>
        <w:drawing>
          <wp:inline distT="0" distB="0" distL="0" distR="0">
            <wp:extent cx="2314284" cy="1371600"/>
            <wp:effectExtent l="0" t="0" r="0" b="0"/>
            <wp:docPr id="2" name="Рисунок 2" descr="\\SERVERUF\Work\Лаборатория 12\Швец_Н\Формула. ДБ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UF\Work\Лаборатория 12\Швец_Н\Формула. ДБА.pn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012" t="-5" r="26101" b="50361"/>
                    <a:stretch/>
                  </pic:blipFill>
                  <pic:spPr bwMode="auto">
                    <a:xfrm>
                      <a:off x="0" y="0"/>
                      <a:ext cx="2420115" cy="14343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24F18" w:rsidRPr="00853F4E" w:rsidRDefault="00324F18" w:rsidP="005F1664">
      <w:pPr>
        <w:suppressAutoHyphens/>
        <w:spacing w:line="360" w:lineRule="auto"/>
        <w:jc w:val="center"/>
      </w:pPr>
      <w:r>
        <w:t xml:space="preserve">Формула </w:t>
      </w:r>
      <w:r>
        <w:rPr>
          <w:lang w:val="en-US"/>
        </w:rPr>
        <w:t>II</w:t>
      </w:r>
      <w:r>
        <w:t>.</w:t>
      </w:r>
      <w:r w:rsidRPr="006737F2">
        <w:t xml:space="preserve"> </w:t>
      </w:r>
      <w:r>
        <w:t>Структурная формула 2,2'-диаллилбисфенола А.</w:t>
      </w:r>
    </w:p>
    <w:p w:rsidR="003427EF" w:rsidRPr="005F1664" w:rsidRDefault="00924998" w:rsidP="005F1664">
      <w:pPr>
        <w:suppressAutoHyphens/>
        <w:spacing w:line="360" w:lineRule="auto"/>
        <w:ind w:firstLine="709"/>
        <w:jc w:val="both"/>
        <w:rPr>
          <w:i/>
          <w:sz w:val="28"/>
        </w:rPr>
      </w:pPr>
      <w:r w:rsidRPr="005F1664">
        <w:rPr>
          <w:i/>
          <w:sz w:val="28"/>
        </w:rPr>
        <w:lastRenderedPageBreak/>
        <w:t xml:space="preserve">1. </w:t>
      </w:r>
      <w:r w:rsidR="003427EF" w:rsidRPr="005F1664">
        <w:rPr>
          <w:i/>
          <w:sz w:val="28"/>
        </w:rPr>
        <w:t>Керамообразующие полимерные композиции на основе ПКС и ДБА</w:t>
      </w:r>
      <w:r w:rsidRPr="005F1664">
        <w:rPr>
          <w:i/>
          <w:sz w:val="28"/>
        </w:rPr>
        <w:t>.</w:t>
      </w:r>
    </w:p>
    <w:p w:rsidR="003427EF" w:rsidRPr="005F1664" w:rsidRDefault="003427EF" w:rsidP="005F1664">
      <w:pPr>
        <w:suppressAutoHyphens/>
        <w:spacing w:line="360" w:lineRule="auto"/>
        <w:ind w:firstLine="709"/>
        <w:jc w:val="both"/>
        <w:rPr>
          <w:sz w:val="28"/>
        </w:rPr>
      </w:pPr>
      <w:r w:rsidRPr="005F1664">
        <w:rPr>
          <w:sz w:val="28"/>
        </w:rPr>
        <w:t>В ходе исследования были выбраны условия совмещения ПКС и ДБА и установлено, что оптимальным является совмещение исходных компонентов путем их растворения</w:t>
      </w:r>
      <w:r w:rsidR="000F7AF3" w:rsidRPr="005F1664">
        <w:rPr>
          <w:sz w:val="28"/>
        </w:rPr>
        <w:t xml:space="preserve"> в толуоле</w:t>
      </w:r>
      <w:r w:rsidRPr="005F1664">
        <w:rPr>
          <w:sz w:val="28"/>
        </w:rPr>
        <w:t xml:space="preserve"> с последующим вакуумированием при 1 мм рт. ст. до постоянной массы.</w:t>
      </w:r>
      <w:r w:rsidR="000F7AF3" w:rsidRPr="005F1664">
        <w:rPr>
          <w:sz w:val="28"/>
        </w:rPr>
        <w:t xml:space="preserve"> Таким образом были получены керамообразующие полимерные композиции на основе ПКС и ДБА с различным массовым соотношением компонентов ПКС/ДБА: ПКСД-21 (ПКС/ДБА – 2/1), ПКСД-31 (ПКС/ДБА – 3/1) и ПКСД-41 (ПКС/ДБА – 4/1);</w:t>
      </w:r>
    </w:p>
    <w:p w:rsidR="003427EF" w:rsidRPr="005F1664" w:rsidRDefault="000F7AF3" w:rsidP="005F1664">
      <w:pPr>
        <w:suppressAutoHyphens/>
        <w:spacing w:line="360" w:lineRule="auto"/>
        <w:ind w:firstLine="709"/>
        <w:jc w:val="both"/>
        <w:rPr>
          <w:i/>
          <w:sz w:val="28"/>
        </w:rPr>
      </w:pPr>
      <w:r w:rsidRPr="005F1664">
        <w:rPr>
          <w:i/>
          <w:sz w:val="28"/>
        </w:rPr>
        <w:t>2.</w:t>
      </w:r>
      <w:r w:rsidR="003427EF" w:rsidRPr="005F1664">
        <w:rPr>
          <w:i/>
          <w:sz w:val="28"/>
        </w:rPr>
        <w:t xml:space="preserve"> Исследование процесса отверждения композиций на основе ПКС и ДБА</w:t>
      </w:r>
      <w:r w:rsidRPr="005F1664">
        <w:rPr>
          <w:i/>
          <w:sz w:val="28"/>
        </w:rPr>
        <w:t>.</w:t>
      </w:r>
    </w:p>
    <w:p w:rsidR="003427EF" w:rsidRPr="005F1664" w:rsidRDefault="003427EF" w:rsidP="005F1664">
      <w:pPr>
        <w:suppressAutoHyphens/>
        <w:spacing w:line="360" w:lineRule="auto"/>
        <w:ind w:firstLine="709"/>
        <w:jc w:val="both"/>
        <w:rPr>
          <w:sz w:val="28"/>
        </w:rPr>
      </w:pPr>
      <w:r w:rsidRPr="005F1664">
        <w:rPr>
          <w:sz w:val="28"/>
        </w:rPr>
        <w:t xml:space="preserve">Процесс отверждения полученных композиций в аргоне в интервале температуры 30-400 °С исследовали методами гель-проникающей хроматографии (ГПХ), синхронного термического анализа (СТА), инфракрасной спектроскопии (ИК-спектроскопии) и экстракции. </w:t>
      </w:r>
    </w:p>
    <w:p w:rsidR="003427EF" w:rsidRDefault="003427EF" w:rsidP="005F1664">
      <w:pPr>
        <w:suppressAutoHyphens/>
        <w:spacing w:line="360" w:lineRule="auto"/>
        <w:ind w:firstLine="709"/>
        <w:jc w:val="both"/>
        <w:rPr>
          <w:sz w:val="28"/>
        </w:rPr>
      </w:pPr>
      <w:r w:rsidRPr="005F1664">
        <w:rPr>
          <w:sz w:val="28"/>
        </w:rPr>
        <w:t>Показано, что в интервале температуры от 100 до 200 °С на кривых дифференциально сканирующей калориметрии (ДСК) композиций наблюдаются эндоэффекты, сопровождающиеся незначительной потерей массы, что, вероятно, связано с испарением остаточного толуола, используемого при приготовлении композиций, рис. 1б.</w:t>
      </w:r>
    </w:p>
    <w:p w:rsidR="005F1664" w:rsidRDefault="005F1664" w:rsidP="005F1664">
      <w:pPr>
        <w:suppressAutoHyphens/>
        <w:spacing w:line="360" w:lineRule="auto"/>
        <w:ind w:firstLine="709"/>
        <w:jc w:val="both"/>
        <w:rPr>
          <w:sz w:val="28"/>
        </w:rPr>
      </w:pPr>
    </w:p>
    <w:p w:rsidR="005F1664" w:rsidRDefault="005F1664" w:rsidP="005F1664">
      <w:pPr>
        <w:suppressAutoHyphens/>
        <w:spacing w:line="360" w:lineRule="auto"/>
        <w:ind w:firstLine="709"/>
        <w:jc w:val="both"/>
        <w:rPr>
          <w:sz w:val="28"/>
        </w:rPr>
      </w:pPr>
    </w:p>
    <w:p w:rsidR="005F1664" w:rsidRPr="005F1664" w:rsidRDefault="005F1664" w:rsidP="005F1664">
      <w:pPr>
        <w:suppressAutoHyphens/>
        <w:spacing w:line="360" w:lineRule="auto"/>
        <w:ind w:firstLine="709"/>
        <w:jc w:val="both"/>
        <w:rPr>
          <w:sz w:val="28"/>
        </w:rPr>
      </w:pPr>
    </w:p>
    <w:p w:rsidR="003427EF" w:rsidRPr="00AE1DFF" w:rsidRDefault="003427EF" w:rsidP="005F1664">
      <w:pPr>
        <w:suppressAutoHyphens/>
        <w:spacing w:line="360" w:lineRule="auto"/>
        <w:ind w:firstLine="708"/>
        <w:jc w:val="center"/>
      </w:pPr>
      <w:r>
        <w:rPr>
          <w:noProof/>
        </w:rPr>
        <w:lastRenderedPageBreak/>
        <w:drawing>
          <wp:inline distT="0" distB="0" distL="0" distR="0">
            <wp:extent cx="4389120" cy="2689860"/>
            <wp:effectExtent l="0" t="0" r="0" b="0"/>
            <wp:docPr id="32" name="Рисунок 32"/>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10" cstate="print">
                      <a:biLevel thresh="75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1503" cy="2691320"/>
                    </a:xfrm>
                    <a:prstGeom prst="rect">
                      <a:avLst/>
                    </a:prstGeom>
                    <a:noFill/>
                    <a:ln>
                      <a:noFill/>
                    </a:ln>
                  </pic:spPr>
                </pic:pic>
              </a:graphicData>
            </a:graphic>
          </wp:inline>
        </w:drawing>
      </w:r>
    </w:p>
    <w:p w:rsidR="003427EF" w:rsidRDefault="003427EF" w:rsidP="005F1664">
      <w:pPr>
        <w:suppressAutoHyphens/>
        <w:spacing w:line="360" w:lineRule="auto"/>
        <w:ind w:firstLine="708"/>
        <w:jc w:val="center"/>
      </w:pPr>
      <w:r>
        <w:rPr>
          <w:noProof/>
        </w:rPr>
        <w:drawing>
          <wp:inline distT="0" distB="0" distL="0" distR="0">
            <wp:extent cx="4838700" cy="2095500"/>
            <wp:effectExtent l="0" t="0" r="0" b="0"/>
            <wp:docPr id="33" name="Рисунок 33"/>
            <wp:cNvGraphicFramePr/>
            <a:graphic xmlns:a="http://schemas.openxmlformats.org/drawingml/2006/main">
              <a:graphicData uri="http://schemas.openxmlformats.org/drawingml/2006/picture">
                <pic:pic xmlns:pic="http://schemas.openxmlformats.org/drawingml/2006/picture">
                  <pic:nvPicPr>
                    <pic:cNvPr id="33" name="Рисунок 33"/>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0003" cy="2096064"/>
                    </a:xfrm>
                    <a:prstGeom prst="rect">
                      <a:avLst/>
                    </a:prstGeom>
                    <a:noFill/>
                    <a:ln>
                      <a:noFill/>
                    </a:ln>
                  </pic:spPr>
                </pic:pic>
              </a:graphicData>
            </a:graphic>
          </wp:inline>
        </w:drawing>
      </w:r>
    </w:p>
    <w:p w:rsidR="003427EF" w:rsidRDefault="003427EF" w:rsidP="005F1664">
      <w:pPr>
        <w:suppressAutoHyphens/>
        <w:spacing w:line="360" w:lineRule="auto"/>
        <w:jc w:val="center"/>
      </w:pPr>
      <w:r>
        <w:t>Рисунок 1. Кривые СТА (ТГА (а) и ДСК (б)) в аргоне: 1 – ПКСД-21, 2 – ПКСД-31, 3 – ПКСД-41, 4 − ПКС; 5 – ДБА.</w:t>
      </w:r>
    </w:p>
    <w:p w:rsidR="003427EF" w:rsidRPr="005F1664" w:rsidRDefault="003427EF" w:rsidP="005F1664">
      <w:pPr>
        <w:suppressAutoHyphens/>
        <w:spacing w:line="360" w:lineRule="auto"/>
        <w:ind w:firstLine="709"/>
        <w:jc w:val="both"/>
        <w:rPr>
          <w:sz w:val="28"/>
        </w:rPr>
      </w:pPr>
      <w:r w:rsidRPr="005F1664">
        <w:rPr>
          <w:sz w:val="28"/>
        </w:rPr>
        <w:t>В области температуры от 275 до 400 °С для ПКС и композиций наблюдаются экзоэффекты, которые сопровождаются потерями массы. В случае чистого ДБА данный эффект связан с процессами его разложения на легколетучие продукты, при этом энтальпия данного эффекта равна 104 Дж/г, табл. 1. В случае поликарбосилановых композиций величины экзотермических эффектов в данном температурном интервале составляют 690 – 1190 Дж/г, т.е. в несколько раз превышают значения для чистого ДБА. Таким образом, можно предположить, что при нагревании смеси ДБА и ПКС помимо реакций, сопровождающихся деструкцией ДБА, наблюдается реакция присоединения Si-H – группы по двойной связи аллильной группы ДБА, что в итоге приводит к отверждению композиций.</w:t>
      </w:r>
    </w:p>
    <w:p w:rsidR="003427EF" w:rsidRDefault="003427EF" w:rsidP="005F1664">
      <w:pPr>
        <w:suppressAutoHyphens/>
        <w:spacing w:line="360" w:lineRule="auto"/>
        <w:ind w:firstLine="454"/>
        <w:jc w:val="both"/>
      </w:pPr>
    </w:p>
    <w:p w:rsidR="005F1664" w:rsidRDefault="003427EF" w:rsidP="005F1664">
      <w:pPr>
        <w:suppressAutoHyphens/>
        <w:spacing w:line="360" w:lineRule="auto"/>
        <w:ind w:firstLine="454"/>
        <w:jc w:val="right"/>
      </w:pPr>
      <w:r>
        <w:lastRenderedPageBreak/>
        <w:t>Таблица 1</w:t>
      </w:r>
    </w:p>
    <w:p w:rsidR="003427EF" w:rsidRDefault="003427EF" w:rsidP="005F1664">
      <w:pPr>
        <w:suppressAutoHyphens/>
        <w:spacing w:line="360" w:lineRule="auto"/>
        <w:ind w:firstLine="454"/>
        <w:jc w:val="both"/>
      </w:pPr>
      <w:r>
        <w:t>Свойства поликарбосилановых композиций с 2,2'-диаллилбисфенолом А.</w:t>
      </w:r>
    </w:p>
    <w:tbl>
      <w:tblPr>
        <w:tblW w:w="4801" w:type="pct"/>
        <w:jc w:val="center"/>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3"/>
        <w:gridCol w:w="1465"/>
        <w:gridCol w:w="904"/>
        <w:gridCol w:w="1068"/>
        <w:gridCol w:w="910"/>
        <w:gridCol w:w="1307"/>
        <w:gridCol w:w="2213"/>
      </w:tblGrid>
      <w:tr w:rsidR="003427EF" w:rsidTr="00924998">
        <w:trPr>
          <w:trHeight w:val="262"/>
          <w:jc w:val="center"/>
        </w:trPr>
        <w:tc>
          <w:tcPr>
            <w:tcW w:w="720" w:type="pct"/>
            <w:vMerge w:val="restar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both"/>
              <w:rPr>
                <w:lang w:eastAsia="en-US"/>
              </w:rPr>
            </w:pPr>
            <w:r>
              <w:t>Образец</w:t>
            </w:r>
          </w:p>
        </w:tc>
        <w:tc>
          <w:tcPr>
            <w:tcW w:w="1870" w:type="pct"/>
            <w:gridSpan w:val="3"/>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Отверждение</w:t>
            </w:r>
          </w:p>
        </w:tc>
        <w:tc>
          <w:tcPr>
            <w:tcW w:w="1205" w:type="pct"/>
            <w:gridSpan w:val="2"/>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СТА пиролиза</w:t>
            </w:r>
          </w:p>
        </w:tc>
        <w:tc>
          <w:tcPr>
            <w:tcW w:w="1205" w:type="pct"/>
            <w:vMerge w:val="restar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Твердый остаток ступенчатого пиролиза до 1100 °С, % мас.</w:t>
            </w:r>
          </w:p>
        </w:tc>
      </w:tr>
      <w:tr w:rsidR="003427EF" w:rsidTr="00924998">
        <w:trPr>
          <w:trHeight w:val="2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797" w:type="pct"/>
            <w:vMerge w:val="restar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pPr>
            <w:r>
              <w:t>Выход гель-фракции</w:t>
            </w:r>
          </w:p>
          <w:p w:rsidR="003427EF" w:rsidRDefault="003427EF" w:rsidP="005F1664">
            <w:pPr>
              <w:suppressAutoHyphens/>
              <w:jc w:val="center"/>
              <w:rPr>
                <w:lang w:eastAsia="en-US"/>
              </w:rPr>
            </w:pPr>
            <w:r>
              <w:t xml:space="preserve">при 350 </w:t>
            </w:r>
            <w:r>
              <w:rPr>
                <w:vertAlign w:val="superscript"/>
              </w:rPr>
              <w:t>0</w:t>
            </w:r>
            <w:r>
              <w:t>С, % мас.</w:t>
            </w:r>
          </w:p>
        </w:tc>
        <w:tc>
          <w:tcPr>
            <w:tcW w:w="1073" w:type="pct"/>
            <w:gridSpan w:val="2"/>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СТА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Т</w:t>
            </w:r>
            <w:r>
              <w:rPr>
                <w:vertAlign w:val="subscript"/>
              </w:rPr>
              <w:t>1</w:t>
            </w:r>
            <w:r>
              <w:t>*</w:t>
            </w:r>
            <w:r>
              <w:rPr>
                <w:vertAlign w:val="subscript"/>
              </w:rPr>
              <w:t xml:space="preserve">, </w:t>
            </w:r>
            <w:r>
              <w:t>°С</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Твердый остаток при 800 °С, % мас.</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r>
      <w:tr w:rsidR="003427EF" w:rsidTr="00924998">
        <w:trPr>
          <w:trHeight w:val="9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492"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w:t>
            </w:r>
            <w:r>
              <w:rPr>
                <w:lang w:val="en-US"/>
              </w:rPr>
              <w:t>m</w:t>
            </w:r>
            <w:r>
              <w:t>**, % мас.</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∆Н***, Дж/г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r>
      <w:tr w:rsidR="003427EF" w:rsidTr="00924998">
        <w:trPr>
          <w:trHeight w:val="299"/>
          <w:jc w:val="center"/>
        </w:trPr>
        <w:tc>
          <w:tcPr>
            <w:tcW w:w="720"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ПКСД-21</w:t>
            </w:r>
          </w:p>
        </w:tc>
        <w:tc>
          <w:tcPr>
            <w:tcW w:w="797"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70</w:t>
            </w:r>
          </w:p>
        </w:tc>
        <w:tc>
          <w:tcPr>
            <w:tcW w:w="492"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14,4</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694±35</w:t>
            </w:r>
          </w:p>
        </w:tc>
        <w:tc>
          <w:tcPr>
            <w:tcW w:w="49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608</w:t>
            </w:r>
          </w:p>
        </w:tc>
        <w:tc>
          <w:tcPr>
            <w:tcW w:w="7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92</w:t>
            </w:r>
          </w:p>
        </w:tc>
        <w:tc>
          <w:tcPr>
            <w:tcW w:w="1205"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77</w:t>
            </w:r>
          </w:p>
        </w:tc>
      </w:tr>
      <w:tr w:rsidR="003427EF" w:rsidTr="00924998">
        <w:trPr>
          <w:trHeight w:val="276"/>
          <w:jc w:val="center"/>
        </w:trPr>
        <w:tc>
          <w:tcPr>
            <w:tcW w:w="720"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ПКСД-31</w:t>
            </w:r>
          </w:p>
        </w:tc>
        <w:tc>
          <w:tcPr>
            <w:tcW w:w="797"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71</w:t>
            </w:r>
          </w:p>
        </w:tc>
        <w:tc>
          <w:tcPr>
            <w:tcW w:w="492"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11,2</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729±36</w:t>
            </w:r>
          </w:p>
        </w:tc>
        <w:tc>
          <w:tcPr>
            <w:tcW w:w="49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603</w:t>
            </w:r>
          </w:p>
        </w:tc>
        <w:tc>
          <w:tcPr>
            <w:tcW w:w="7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90</w:t>
            </w:r>
          </w:p>
        </w:tc>
        <w:tc>
          <w:tcPr>
            <w:tcW w:w="1205"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79</w:t>
            </w:r>
          </w:p>
        </w:tc>
      </w:tr>
      <w:tr w:rsidR="003427EF" w:rsidTr="00924998">
        <w:trPr>
          <w:trHeight w:val="124"/>
          <w:jc w:val="center"/>
        </w:trPr>
        <w:tc>
          <w:tcPr>
            <w:tcW w:w="720"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ПКСД-41</w:t>
            </w:r>
          </w:p>
        </w:tc>
        <w:tc>
          <w:tcPr>
            <w:tcW w:w="797"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72</w:t>
            </w:r>
          </w:p>
        </w:tc>
        <w:tc>
          <w:tcPr>
            <w:tcW w:w="492"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7,2</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1189±59</w:t>
            </w:r>
          </w:p>
        </w:tc>
        <w:tc>
          <w:tcPr>
            <w:tcW w:w="49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453</w:t>
            </w:r>
          </w:p>
        </w:tc>
        <w:tc>
          <w:tcPr>
            <w:tcW w:w="7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85</w:t>
            </w:r>
          </w:p>
        </w:tc>
        <w:tc>
          <w:tcPr>
            <w:tcW w:w="1205"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80</w:t>
            </w:r>
          </w:p>
        </w:tc>
      </w:tr>
      <w:tr w:rsidR="003427EF" w:rsidTr="00924998">
        <w:trPr>
          <w:trHeight w:val="270"/>
          <w:jc w:val="center"/>
        </w:trPr>
        <w:tc>
          <w:tcPr>
            <w:tcW w:w="720"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ПКС-М</w:t>
            </w:r>
          </w:p>
        </w:tc>
        <w:tc>
          <w:tcPr>
            <w:tcW w:w="797"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0</w:t>
            </w:r>
          </w:p>
        </w:tc>
        <w:tc>
          <w:tcPr>
            <w:tcW w:w="492"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0,05</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w:t>
            </w:r>
          </w:p>
        </w:tc>
        <w:tc>
          <w:tcPr>
            <w:tcW w:w="49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403</w:t>
            </w:r>
          </w:p>
        </w:tc>
        <w:tc>
          <w:tcPr>
            <w:tcW w:w="7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60</w:t>
            </w:r>
          </w:p>
        </w:tc>
        <w:tc>
          <w:tcPr>
            <w:tcW w:w="1205"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60</w:t>
            </w:r>
          </w:p>
        </w:tc>
      </w:tr>
      <w:tr w:rsidR="003427EF" w:rsidTr="00924998">
        <w:trPr>
          <w:trHeight w:val="260"/>
          <w:jc w:val="center"/>
        </w:trPr>
        <w:tc>
          <w:tcPr>
            <w:tcW w:w="720"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ДБА</w:t>
            </w:r>
          </w:p>
        </w:tc>
        <w:tc>
          <w:tcPr>
            <w:tcW w:w="797"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5</w:t>
            </w:r>
          </w:p>
        </w:tc>
        <w:tc>
          <w:tcPr>
            <w:tcW w:w="492"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71,5</w:t>
            </w:r>
          </w:p>
        </w:tc>
        <w:tc>
          <w:tcPr>
            <w:tcW w:w="58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104±5</w:t>
            </w:r>
          </w:p>
        </w:tc>
        <w:tc>
          <w:tcPr>
            <w:tcW w:w="49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w:t>
            </w:r>
          </w:p>
        </w:tc>
        <w:tc>
          <w:tcPr>
            <w:tcW w:w="7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jc w:val="center"/>
              <w:rPr>
                <w:lang w:eastAsia="en-US"/>
              </w:rPr>
            </w:pPr>
            <w:r>
              <w:t>-</w:t>
            </w:r>
          </w:p>
        </w:tc>
        <w:tc>
          <w:tcPr>
            <w:tcW w:w="1205" w:type="pct"/>
            <w:tcBorders>
              <w:top w:val="single" w:sz="4" w:space="0" w:color="auto"/>
              <w:left w:val="single" w:sz="4" w:space="0" w:color="auto"/>
              <w:bottom w:val="single" w:sz="4" w:space="0" w:color="auto"/>
              <w:right w:val="single" w:sz="4" w:space="0" w:color="auto"/>
            </w:tcBorders>
            <w:hideMark/>
          </w:tcPr>
          <w:p w:rsidR="003427EF" w:rsidRDefault="003427EF" w:rsidP="005F1664">
            <w:pPr>
              <w:suppressAutoHyphens/>
              <w:jc w:val="center"/>
              <w:rPr>
                <w:lang w:eastAsia="en-US"/>
              </w:rPr>
            </w:pPr>
            <w:r>
              <w:t>-</w:t>
            </w:r>
          </w:p>
        </w:tc>
      </w:tr>
    </w:tbl>
    <w:p w:rsidR="003427EF" w:rsidRDefault="003427EF" w:rsidP="005F1664">
      <w:pPr>
        <w:suppressAutoHyphens/>
        <w:spacing w:line="360" w:lineRule="auto"/>
        <w:ind w:firstLine="709"/>
        <w:jc w:val="both"/>
        <w:rPr>
          <w:lang w:eastAsia="en-US"/>
        </w:rPr>
      </w:pPr>
      <w:r>
        <w:t>*Т</w:t>
      </w:r>
      <w:r>
        <w:rPr>
          <w:vertAlign w:val="subscript"/>
        </w:rPr>
        <w:t>1</w:t>
      </w:r>
      <w:r>
        <w:t xml:space="preserve"> </w:t>
      </w:r>
      <w:r>
        <w:rPr>
          <w:rFonts w:ascii="Calibri" w:hAnsi="Calibri"/>
        </w:rPr>
        <w:t>–</w:t>
      </w:r>
      <w:r>
        <w:t xml:space="preserve"> температура начала потерь массы на кривых ТГА;</w:t>
      </w:r>
    </w:p>
    <w:p w:rsidR="003427EF" w:rsidRDefault="003427EF" w:rsidP="005F1664">
      <w:pPr>
        <w:suppressAutoHyphens/>
        <w:spacing w:line="360" w:lineRule="auto"/>
        <w:ind w:firstLine="709"/>
        <w:jc w:val="both"/>
      </w:pPr>
      <w:r>
        <w:t>**∆</w:t>
      </w:r>
      <w:r>
        <w:rPr>
          <w:lang w:val="en-US"/>
        </w:rPr>
        <w:t>m</w:t>
      </w:r>
      <w:r>
        <w:t xml:space="preserve"> – потери массы по кривым ТГА при 450 °С;</w:t>
      </w:r>
    </w:p>
    <w:p w:rsidR="003427EF" w:rsidRDefault="003427EF" w:rsidP="005F1664">
      <w:pPr>
        <w:suppressAutoHyphens/>
        <w:spacing w:line="360" w:lineRule="auto"/>
        <w:ind w:firstLine="709"/>
        <w:jc w:val="both"/>
      </w:pPr>
      <w:r>
        <w:t>***</w:t>
      </w:r>
      <w:r>
        <w:sym w:font="Symbol" w:char="F044"/>
      </w:r>
      <w:r>
        <w:rPr>
          <w:lang w:val="en-US"/>
        </w:rPr>
        <w:t>H</w:t>
      </w:r>
      <w:r>
        <w:t xml:space="preserve"> – изменение энтальпии реакции, приведенное на грамм выделяющихся продуктов.</w:t>
      </w:r>
    </w:p>
    <w:p w:rsidR="003427EF" w:rsidRPr="005F1664" w:rsidRDefault="003427EF" w:rsidP="005F1664">
      <w:pPr>
        <w:suppressAutoHyphens/>
        <w:spacing w:line="360" w:lineRule="auto"/>
        <w:ind w:firstLine="709"/>
        <w:jc w:val="both"/>
        <w:rPr>
          <w:sz w:val="28"/>
        </w:rPr>
      </w:pPr>
      <w:r w:rsidRPr="005F1664">
        <w:rPr>
          <w:sz w:val="28"/>
        </w:rPr>
        <w:t>Сравните</w:t>
      </w:r>
      <w:r w:rsidR="00A30A73" w:rsidRPr="005F1664">
        <w:rPr>
          <w:sz w:val="28"/>
        </w:rPr>
        <w:t>льный анализ ИК-спектров (рис. 2</w:t>
      </w:r>
      <w:r w:rsidRPr="005F1664">
        <w:rPr>
          <w:sz w:val="28"/>
        </w:rPr>
        <w:t>) компонентов, исходной композиции ПКСД-21 и композиции ПКСД-21о после термообработки при 350 °С показал во-первых снижение в спектре ПКСД-21о интенсивности полос поглощения колебаний при 3076 см</w:t>
      </w:r>
      <w:r w:rsidRPr="005F1664">
        <w:rPr>
          <w:sz w:val="28"/>
          <w:vertAlign w:val="superscript"/>
        </w:rPr>
        <w:t>-1</w:t>
      </w:r>
      <w:r w:rsidRPr="005F1664">
        <w:rPr>
          <w:sz w:val="28"/>
        </w:rPr>
        <w:t xml:space="preserve"> и 1637 см</w:t>
      </w:r>
      <w:r w:rsidRPr="005F1664">
        <w:rPr>
          <w:sz w:val="28"/>
          <w:vertAlign w:val="superscript"/>
        </w:rPr>
        <w:t>-1</w:t>
      </w:r>
      <w:r w:rsidRPr="005F1664">
        <w:rPr>
          <w:sz w:val="28"/>
        </w:rPr>
        <w:t>, относимых к валентным колебаниям двойной углеродной связи, по сравнению с интенсивностью этой полосы в спектрах как исходного ДБА, так и исходной композиции ПКСД-21. Это свидетельствует об уменьшении количества двойных связей в композиции при термообработке. Во-вторых, в ИК-спектре ПКСД-21о на 5-7 % понижается интенсивность полосы поглощения при 2101 см</w:t>
      </w:r>
      <w:r w:rsidRPr="005F1664">
        <w:rPr>
          <w:sz w:val="28"/>
          <w:vertAlign w:val="superscript"/>
        </w:rPr>
        <w:t>-1</w:t>
      </w:r>
      <w:r w:rsidRPr="005F1664">
        <w:rPr>
          <w:sz w:val="28"/>
        </w:rPr>
        <w:t>, относимой к валентным колебаниям Si-H – связи и наблюдаемой в исходном ПКС и в исходной композиции. Это позволяет считать, что одной из реакций, приводящих к отверждению композиции, является взаимодействие двойных углеродных связей аллильных групп ДБА с гидридными Si-H – связями ПКС.</w:t>
      </w:r>
    </w:p>
    <w:p w:rsidR="003427EF" w:rsidRPr="005F1664" w:rsidRDefault="003427EF" w:rsidP="005F1664">
      <w:pPr>
        <w:suppressAutoHyphens/>
        <w:spacing w:line="360" w:lineRule="auto"/>
        <w:ind w:firstLine="709"/>
        <w:jc w:val="both"/>
        <w:rPr>
          <w:sz w:val="28"/>
        </w:rPr>
      </w:pPr>
      <w:r w:rsidRPr="005F1664">
        <w:rPr>
          <w:sz w:val="28"/>
        </w:rPr>
        <w:t xml:space="preserve">Полученные керамообразующие композиции были отверждены в аргоне в интервале температур 100-350 °С по выбранному температурному режиму и методом экстракции определено содержание нерастворимого полимера в композициях, выход которого находится на уровне 70 % мас. и </w:t>
      </w:r>
      <w:r w:rsidRPr="005F1664">
        <w:rPr>
          <w:sz w:val="28"/>
        </w:rPr>
        <w:lastRenderedPageBreak/>
        <w:t>практически не зависит от соотношения компонентов в ко</w:t>
      </w:r>
      <w:r w:rsidRPr="005F1664">
        <w:rPr>
          <w:sz w:val="28"/>
        </w:rPr>
        <w:t>м</w:t>
      </w:r>
      <w:r w:rsidRPr="005F1664">
        <w:rPr>
          <w:sz w:val="28"/>
        </w:rPr>
        <w:t xml:space="preserve">позициях, табл. 1. Следует отметить, что при термообработке в тех же условиях отдельно каждого из исходных компонентов, выход нерастворимого продукта для ДБА составляет лишь 5 % мас., а ПКС вообще не образует сшитого полимера. </w:t>
      </w:r>
    </w:p>
    <w:p w:rsidR="003427EF" w:rsidRDefault="003427EF" w:rsidP="005F1664">
      <w:pPr>
        <w:suppressAutoHyphens/>
        <w:spacing w:line="360" w:lineRule="auto"/>
        <w:ind w:firstLine="709"/>
        <w:jc w:val="center"/>
      </w:pPr>
      <w:r>
        <w:rPr>
          <w:noProof/>
        </w:rPr>
        <w:drawing>
          <wp:inline distT="0" distB="0" distL="0" distR="0">
            <wp:extent cx="4900872" cy="324612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biLevel thresh="7500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3">
                              <a14:imgEffect>
                                <a14:saturation sat="400000"/>
                              </a14:imgEffect>
                              <a14:imgEffect>
                                <a14:brightnessContrast bright="-2000" contrast="-4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2939" cy="3254113"/>
                    </a:xfrm>
                    <a:prstGeom prst="rect">
                      <a:avLst/>
                    </a:prstGeom>
                    <a:noFill/>
                    <a:ln>
                      <a:noFill/>
                    </a:ln>
                  </pic:spPr>
                </pic:pic>
              </a:graphicData>
            </a:graphic>
          </wp:inline>
        </w:drawing>
      </w:r>
    </w:p>
    <w:p w:rsidR="003427EF" w:rsidRPr="00611535" w:rsidRDefault="00A30A73" w:rsidP="005F1664">
      <w:pPr>
        <w:suppressAutoHyphens/>
        <w:spacing w:line="360" w:lineRule="auto"/>
        <w:jc w:val="center"/>
      </w:pPr>
      <w:r>
        <w:t>Рисунок 2</w:t>
      </w:r>
      <w:r w:rsidR="003427EF">
        <w:t>. ИК-спектры: 1) ПКС, 2) ДБА</w:t>
      </w:r>
      <w:r w:rsidR="003427EF" w:rsidRPr="00611535">
        <w:t>, 3)</w:t>
      </w:r>
      <w:r w:rsidR="003427EF">
        <w:t xml:space="preserve"> </w:t>
      </w:r>
      <w:r w:rsidR="003427EF" w:rsidRPr="00611535">
        <w:t>исходная композиция ПКСД-21,</w:t>
      </w:r>
      <w:r w:rsidR="003427EF">
        <w:t xml:space="preserve"> </w:t>
      </w:r>
      <w:r w:rsidR="003427EF" w:rsidRPr="00611535">
        <w:t>4) композиция ПКСД-21о</w:t>
      </w:r>
      <w:r w:rsidR="003427EF">
        <w:t>.</w:t>
      </w:r>
    </w:p>
    <w:p w:rsidR="003427EF" w:rsidRPr="005F1664" w:rsidRDefault="003427EF" w:rsidP="005F1664">
      <w:pPr>
        <w:suppressAutoHyphens/>
        <w:spacing w:line="360" w:lineRule="auto"/>
        <w:ind w:firstLine="709"/>
        <w:jc w:val="both"/>
        <w:rPr>
          <w:sz w:val="28"/>
        </w:rPr>
      </w:pPr>
      <w:r w:rsidRPr="005F1664">
        <w:rPr>
          <w:sz w:val="28"/>
        </w:rPr>
        <w:t>Таким образом, образование трехмерного сетчатого полимера является результатом взаимодействия исходных компонентов.</w:t>
      </w:r>
    </w:p>
    <w:p w:rsidR="003427EF" w:rsidRPr="005F1664" w:rsidRDefault="000F7AF3" w:rsidP="005F1664">
      <w:pPr>
        <w:suppressAutoHyphens/>
        <w:spacing w:line="360" w:lineRule="auto"/>
        <w:ind w:firstLine="709"/>
        <w:jc w:val="both"/>
        <w:rPr>
          <w:i/>
          <w:sz w:val="28"/>
        </w:rPr>
      </w:pPr>
      <w:r w:rsidRPr="005F1664">
        <w:rPr>
          <w:i/>
          <w:sz w:val="28"/>
        </w:rPr>
        <w:t>3.</w:t>
      </w:r>
      <w:r w:rsidR="003427EF" w:rsidRPr="005F1664">
        <w:rPr>
          <w:i/>
          <w:sz w:val="28"/>
        </w:rPr>
        <w:t xml:space="preserve"> Исследование пиролиза керамообразующих композиций ПКС+ДБА</w:t>
      </w:r>
      <w:r w:rsidRPr="005F1664">
        <w:rPr>
          <w:i/>
          <w:sz w:val="28"/>
        </w:rPr>
        <w:t>.</w:t>
      </w:r>
    </w:p>
    <w:p w:rsidR="003427EF" w:rsidRPr="005F1664" w:rsidRDefault="003427EF" w:rsidP="005F1664">
      <w:pPr>
        <w:suppressAutoHyphens/>
        <w:spacing w:line="360" w:lineRule="auto"/>
        <w:ind w:firstLine="709"/>
        <w:jc w:val="both"/>
        <w:rPr>
          <w:sz w:val="28"/>
        </w:rPr>
      </w:pPr>
      <w:r w:rsidRPr="005F1664">
        <w:rPr>
          <w:sz w:val="28"/>
        </w:rPr>
        <w:t>Методом СТА был исследован пиролиз полученных отвержденных композиций. Исследования проводили в интервале температуры 30 – 1400 °С в атмосфере аргона. Показано, что основные термохимические превращения происходят в интервале температу</w:t>
      </w:r>
      <w:r w:rsidR="00A30A73" w:rsidRPr="005F1664">
        <w:rPr>
          <w:sz w:val="28"/>
        </w:rPr>
        <w:t>ры 450 – 800 °С, рис. 3</w:t>
      </w:r>
      <w:r w:rsidRPr="005F1664">
        <w:rPr>
          <w:sz w:val="28"/>
        </w:rPr>
        <w:t>. Температура начала деструкции и потери массы зависят от соотношения исходных компонентов, а завершается этот процесс для всех композиций при 800 °С независимо от их состава. При уменьшении содержания в композиции ДБА температура начала деструкции снижается с 607 до 453 °С, потери массы при 800 °С возрастают с 8 до 15 %. Полученная закономерность может служить доказательством того, что отве</w:t>
      </w:r>
      <w:r w:rsidRPr="005F1664">
        <w:rPr>
          <w:sz w:val="28"/>
        </w:rPr>
        <w:t>р</w:t>
      </w:r>
      <w:r w:rsidRPr="005F1664">
        <w:rPr>
          <w:sz w:val="28"/>
        </w:rPr>
        <w:t xml:space="preserve">ждение является результатом взаимодействия </w:t>
      </w:r>
      <w:r w:rsidRPr="005F1664">
        <w:rPr>
          <w:sz w:val="28"/>
        </w:rPr>
        <w:lastRenderedPageBreak/>
        <w:t>исходных компонентов, а образующийся нерастворимый полимер является продуктом этого взаимодействия.</w:t>
      </w:r>
    </w:p>
    <w:p w:rsidR="003427EF" w:rsidRDefault="003427EF" w:rsidP="005F1664">
      <w:pPr>
        <w:suppressAutoHyphens/>
        <w:spacing w:line="360" w:lineRule="auto"/>
        <w:ind w:firstLine="709"/>
        <w:jc w:val="center"/>
      </w:pPr>
      <w:r>
        <w:rPr>
          <w:noProof/>
        </w:rPr>
        <w:drawing>
          <wp:inline distT="0" distB="0" distL="0" distR="0">
            <wp:extent cx="5120101" cy="2720340"/>
            <wp:effectExtent l="0" t="0" r="4445" b="3810"/>
            <wp:docPr id="3" name="Рисунок 3" descr="ПКСД пир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КСД пир3"/>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0101" cy="2720340"/>
                    </a:xfrm>
                    <a:prstGeom prst="rect">
                      <a:avLst/>
                    </a:prstGeom>
                    <a:noFill/>
                    <a:ln>
                      <a:noFill/>
                    </a:ln>
                  </pic:spPr>
                </pic:pic>
              </a:graphicData>
            </a:graphic>
          </wp:inline>
        </w:drawing>
      </w:r>
    </w:p>
    <w:p w:rsidR="003427EF" w:rsidRDefault="00A30A73" w:rsidP="005F1664">
      <w:pPr>
        <w:suppressAutoHyphens/>
        <w:spacing w:line="360" w:lineRule="auto"/>
        <w:jc w:val="center"/>
        <w:rPr>
          <w:iCs/>
        </w:rPr>
      </w:pPr>
      <w:r>
        <w:t>Рисунок 3</w:t>
      </w:r>
      <w:r w:rsidR="003427EF">
        <w:t>. Кривые ТГА пиролиза в аргоне отвержденных керамообразующих композиций: 1 – ПКСД-21о, 2 – ПКСД-31о, 3 – ПКСД-41о, 4 – ПКС.</w:t>
      </w:r>
    </w:p>
    <w:p w:rsidR="003427EF" w:rsidRPr="005F1664" w:rsidRDefault="003427EF" w:rsidP="005F1664">
      <w:pPr>
        <w:suppressAutoHyphens/>
        <w:spacing w:line="360" w:lineRule="auto"/>
        <w:ind w:firstLine="709"/>
        <w:jc w:val="both"/>
        <w:rPr>
          <w:sz w:val="28"/>
        </w:rPr>
      </w:pPr>
      <w:r w:rsidRPr="005F1664">
        <w:rPr>
          <w:sz w:val="28"/>
        </w:rPr>
        <w:t>Выход керамического остатка, полученного в результате пиролиза композиций в атмосфере аргона в температурном интервале 300 – 1100 °С составляет 77 – 80 % мас., практически не зависит от соотношения исходных компонентов и на 30 % выше, чем керамический остаток чистого ПКС, табл. 1.</w:t>
      </w:r>
    </w:p>
    <w:p w:rsidR="003427EF" w:rsidRPr="005F1664" w:rsidRDefault="003427EF" w:rsidP="005F1664">
      <w:pPr>
        <w:suppressAutoHyphens/>
        <w:spacing w:line="360" w:lineRule="auto"/>
        <w:ind w:firstLine="709"/>
        <w:jc w:val="both"/>
        <w:rPr>
          <w:i/>
          <w:sz w:val="28"/>
        </w:rPr>
      </w:pPr>
      <w:r w:rsidRPr="005F1664">
        <w:rPr>
          <w:i/>
          <w:sz w:val="28"/>
        </w:rPr>
        <w:t>3</w:t>
      </w:r>
      <w:r w:rsidR="000F7AF3" w:rsidRPr="005F1664">
        <w:rPr>
          <w:i/>
          <w:sz w:val="28"/>
        </w:rPr>
        <w:t>.</w:t>
      </w:r>
      <w:r w:rsidRPr="005F1664">
        <w:rPr>
          <w:i/>
          <w:sz w:val="28"/>
        </w:rPr>
        <w:t xml:space="preserve"> Исследование керамических матриц, полученных при пиролизе отвержденных композиций ПКС+ДБА</w:t>
      </w:r>
      <w:r w:rsidR="000F7AF3" w:rsidRPr="005F1664">
        <w:rPr>
          <w:i/>
          <w:sz w:val="28"/>
        </w:rPr>
        <w:t>.</w:t>
      </w:r>
    </w:p>
    <w:p w:rsidR="003427EF" w:rsidRPr="005F1664" w:rsidRDefault="003427EF" w:rsidP="005F1664">
      <w:pPr>
        <w:suppressAutoHyphens/>
        <w:spacing w:line="360" w:lineRule="auto"/>
        <w:ind w:firstLine="709"/>
        <w:jc w:val="both"/>
        <w:rPr>
          <w:sz w:val="28"/>
        </w:rPr>
      </w:pPr>
      <w:r w:rsidRPr="005F1664">
        <w:rPr>
          <w:sz w:val="28"/>
        </w:rPr>
        <w:t>Анализ измен</w:t>
      </w:r>
      <w:r w:rsidR="00A30A73" w:rsidRPr="005F1664">
        <w:rPr>
          <w:sz w:val="28"/>
        </w:rPr>
        <w:t>ения элементного состава (рис. 4, табл. 2</w:t>
      </w:r>
      <w:r w:rsidRPr="005F1664">
        <w:rPr>
          <w:sz w:val="28"/>
        </w:rPr>
        <w:t>) керамообразующих композиций в процессе их отверждения и пиролиза, позволяет сделать ряд выводов. Процесс отверждения приводит к накоплению в отвержденном сополимере кислорода (с 3,5 до 5 % мас.), содержание которого практически не изменяется при последующем пиролизе. Отвержденные композиции и твердые продукты пиролиза содержат значительное количество углерода, которое в 2,7 раза превышает стехиометрическое соотношение С/Si.</w:t>
      </w:r>
    </w:p>
    <w:p w:rsidR="003427EF" w:rsidRPr="005F1664" w:rsidRDefault="003427EF" w:rsidP="005F1664">
      <w:pPr>
        <w:suppressAutoHyphens/>
        <w:spacing w:line="360" w:lineRule="auto"/>
        <w:ind w:firstLine="708"/>
        <w:jc w:val="both"/>
        <w:rPr>
          <w:sz w:val="28"/>
        </w:rPr>
      </w:pPr>
      <w:r w:rsidRPr="005F1664">
        <w:rPr>
          <w:sz w:val="28"/>
        </w:rPr>
        <w:t xml:space="preserve">Существенное снижение в результате пиролиза соотношения Н/С при довольно умеренном снижении содержания углерода (соотношения С/Si) </w:t>
      </w:r>
      <w:r w:rsidRPr="005F1664">
        <w:rPr>
          <w:sz w:val="28"/>
        </w:rPr>
        <w:lastRenderedPageBreak/>
        <w:t>свидетельствует о возможном образовании продуктов уплотнения избытка углерода, остающегося в керамическом продукте пиролиза, которые могут ингибировать процесс кристаллизации керамики и как следствие повысить ее термостойкость.</w:t>
      </w:r>
    </w:p>
    <w:p w:rsidR="003427EF" w:rsidRDefault="003427EF" w:rsidP="005F1664">
      <w:pPr>
        <w:suppressAutoHyphens/>
        <w:spacing w:line="360" w:lineRule="auto"/>
        <w:ind w:firstLine="709"/>
        <w:jc w:val="center"/>
      </w:pPr>
      <w:r>
        <w:rPr>
          <w:noProof/>
        </w:rPr>
        <w:drawing>
          <wp:inline distT="0" distB="0" distL="0" distR="0">
            <wp:extent cx="4419600" cy="3230880"/>
            <wp:effectExtent l="0" t="0" r="0" b="7620"/>
            <wp:docPr id="4" name="Рисунок 4"/>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25" cstate="print">
                      <a:biLevel thresh="75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3795" cy="3233947"/>
                    </a:xfrm>
                    <a:prstGeom prst="rect">
                      <a:avLst/>
                    </a:prstGeom>
                    <a:noFill/>
                    <a:ln>
                      <a:noFill/>
                    </a:ln>
                  </pic:spPr>
                </pic:pic>
              </a:graphicData>
            </a:graphic>
          </wp:inline>
        </w:drawing>
      </w:r>
    </w:p>
    <w:p w:rsidR="003427EF" w:rsidRDefault="00A30A73" w:rsidP="005F1664">
      <w:pPr>
        <w:suppressAutoHyphens/>
        <w:spacing w:line="360" w:lineRule="auto"/>
        <w:jc w:val="center"/>
      </w:pPr>
      <w:r>
        <w:t>Рисунок 4</w:t>
      </w:r>
      <w:r w:rsidR="003427EF">
        <w:t>. Изменение соотношения в процессе образования керамической матрицы: а – С/</w:t>
      </w:r>
      <w:r w:rsidR="003427EF">
        <w:rPr>
          <w:lang w:val="en-US"/>
        </w:rPr>
        <w:t>Si</w:t>
      </w:r>
      <w:r w:rsidR="003427EF" w:rsidRPr="009F4E27">
        <w:t xml:space="preserve"> </w:t>
      </w:r>
      <w:r w:rsidR="003427EF">
        <w:t>и б – Н/С композиций ПКСД-21 – 1а, 1б; ПКСД-3/1 – 2а, 2б; ПКСД-41 – 3а, 3б.</w:t>
      </w:r>
    </w:p>
    <w:p w:rsidR="005F1664" w:rsidRDefault="00A30A73" w:rsidP="005F1664">
      <w:pPr>
        <w:suppressAutoHyphens/>
        <w:spacing w:line="360" w:lineRule="auto"/>
        <w:ind w:firstLine="709"/>
        <w:jc w:val="right"/>
      </w:pPr>
      <w:r>
        <w:t>Таблица 2</w:t>
      </w:r>
    </w:p>
    <w:p w:rsidR="003427EF" w:rsidRDefault="003427EF" w:rsidP="005F1664">
      <w:pPr>
        <w:suppressAutoHyphens/>
        <w:spacing w:line="360" w:lineRule="auto"/>
        <w:ind w:firstLine="709"/>
        <w:jc w:val="center"/>
      </w:pPr>
      <w:r>
        <w:t>Элементный состав керамообразующих композиций.</w:t>
      </w:r>
    </w:p>
    <w:tbl>
      <w:tblPr>
        <w:tblW w:w="3300" w:type="pct"/>
        <w:jc w:val="center"/>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28" w:type="dxa"/>
        </w:tblCellMar>
        <w:tblLook w:val="04A0"/>
      </w:tblPr>
      <w:tblGrid>
        <w:gridCol w:w="1629"/>
        <w:gridCol w:w="1151"/>
        <w:gridCol w:w="1170"/>
        <w:gridCol w:w="1124"/>
        <w:gridCol w:w="1243"/>
      </w:tblGrid>
      <w:tr w:rsidR="003427EF" w:rsidTr="00924998">
        <w:trPr>
          <w:trHeight w:val="185"/>
          <w:jc w:val="center"/>
        </w:trPr>
        <w:tc>
          <w:tcPr>
            <w:tcW w:w="1289" w:type="pct"/>
            <w:vMerge w:val="restar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Композиция</w:t>
            </w:r>
          </w:p>
        </w:tc>
        <w:tc>
          <w:tcPr>
            <w:tcW w:w="3711" w:type="pct"/>
            <w:gridSpan w:val="4"/>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Элементный состав, % мас.</w:t>
            </w:r>
          </w:p>
        </w:tc>
      </w:tr>
      <w:tr w:rsidR="003427EF" w:rsidTr="00924998">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suppressAutoHyphens/>
              <w:rPr>
                <w:lang w:eastAsia="en-US"/>
              </w:rPr>
            </w:pP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val="en-US" w:eastAsia="en-US"/>
              </w:rPr>
            </w:pPr>
            <w:r>
              <w:rPr>
                <w:lang w:val="en-US"/>
              </w:rPr>
              <w:t>Si</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rPr>
                <w:lang w:val="en-US"/>
              </w:rPr>
              <w:t>C</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rPr>
                <w:lang w:val="en-US"/>
              </w:rPr>
              <w:t>O</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rPr>
                <w:lang w:val="en-US"/>
              </w:rPr>
              <w:t>H</w:t>
            </w:r>
          </w:p>
        </w:tc>
      </w:tr>
      <w:tr w:rsidR="003427EF" w:rsidTr="00924998">
        <w:trPr>
          <w:cantSplit/>
          <w:trHeight w:hRule="exact" w:val="402"/>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ПКСД-21</w:t>
            </w: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35,2</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51,4</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4,6</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8,7</w:t>
            </w:r>
          </w:p>
        </w:tc>
      </w:tr>
      <w:tr w:rsidR="003427EF" w:rsidTr="00924998">
        <w:trPr>
          <w:cantSplit/>
          <w:trHeight w:val="107"/>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ПКСД-31</w:t>
            </w: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38,6</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48,9</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3,8</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8,6</w:t>
            </w:r>
          </w:p>
        </w:tc>
      </w:tr>
      <w:tr w:rsidR="003427EF" w:rsidTr="00924998">
        <w:trPr>
          <w:cantSplit/>
          <w:trHeight w:val="269"/>
          <w:jc w:val="center"/>
        </w:trPr>
        <w:tc>
          <w:tcPr>
            <w:tcW w:w="1289"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ПКСД-41</w:t>
            </w:r>
          </w:p>
        </w:tc>
        <w:tc>
          <w:tcPr>
            <w:tcW w:w="911"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41,0</w:t>
            </w:r>
          </w:p>
        </w:tc>
        <w:tc>
          <w:tcPr>
            <w:tcW w:w="926"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46,7</w:t>
            </w:r>
          </w:p>
        </w:tc>
        <w:tc>
          <w:tcPr>
            <w:tcW w:w="890"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3,5</w:t>
            </w:r>
          </w:p>
        </w:tc>
        <w:tc>
          <w:tcPr>
            <w:tcW w:w="985"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8,6</w:t>
            </w:r>
          </w:p>
        </w:tc>
      </w:tr>
      <w:tr w:rsidR="003427EF" w:rsidTr="00924998">
        <w:trPr>
          <w:cantSplit/>
          <w:trHeight w:val="269"/>
          <w:jc w:val="center"/>
        </w:trPr>
        <w:tc>
          <w:tcPr>
            <w:tcW w:w="1289"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ПКСД-21о</w:t>
            </w:r>
          </w:p>
        </w:tc>
        <w:tc>
          <w:tcPr>
            <w:tcW w:w="911"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38,6</w:t>
            </w:r>
          </w:p>
        </w:tc>
        <w:tc>
          <w:tcPr>
            <w:tcW w:w="926"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48.1</w:t>
            </w:r>
          </w:p>
        </w:tc>
        <w:tc>
          <w:tcPr>
            <w:tcW w:w="890"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5,6</w:t>
            </w:r>
          </w:p>
        </w:tc>
        <w:tc>
          <w:tcPr>
            <w:tcW w:w="985"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7,7</w:t>
            </w:r>
          </w:p>
        </w:tc>
      </w:tr>
      <w:tr w:rsidR="003427EF" w:rsidTr="00924998">
        <w:trPr>
          <w:cantSplit/>
          <w:trHeight w:val="261"/>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ПКСД-31о</w:t>
            </w: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37,5</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49,3</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5,4</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7,8</w:t>
            </w:r>
          </w:p>
        </w:tc>
      </w:tr>
      <w:tr w:rsidR="003427EF" w:rsidTr="00924998">
        <w:trPr>
          <w:cantSplit/>
          <w:trHeight w:val="269"/>
          <w:jc w:val="center"/>
        </w:trPr>
        <w:tc>
          <w:tcPr>
            <w:tcW w:w="1289"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ПКСД-41о</w:t>
            </w:r>
          </w:p>
        </w:tc>
        <w:tc>
          <w:tcPr>
            <w:tcW w:w="911"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41,4</w:t>
            </w:r>
          </w:p>
        </w:tc>
        <w:tc>
          <w:tcPr>
            <w:tcW w:w="926"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44,8</w:t>
            </w:r>
          </w:p>
        </w:tc>
        <w:tc>
          <w:tcPr>
            <w:tcW w:w="890"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5,0</w:t>
            </w:r>
          </w:p>
        </w:tc>
        <w:tc>
          <w:tcPr>
            <w:tcW w:w="985" w:type="pct"/>
            <w:tcBorders>
              <w:top w:val="single" w:sz="4" w:space="0" w:color="auto"/>
              <w:left w:val="single" w:sz="4" w:space="0" w:color="auto"/>
              <w:bottom w:val="single" w:sz="8" w:space="0" w:color="auto"/>
              <w:right w:val="single" w:sz="4" w:space="0" w:color="auto"/>
            </w:tcBorders>
            <w:vAlign w:val="center"/>
            <w:hideMark/>
          </w:tcPr>
          <w:p w:rsidR="003427EF" w:rsidRDefault="003427EF" w:rsidP="005F1664">
            <w:pPr>
              <w:widowControl w:val="0"/>
              <w:suppressAutoHyphens/>
              <w:jc w:val="center"/>
              <w:rPr>
                <w:lang w:eastAsia="en-US"/>
              </w:rPr>
            </w:pPr>
            <w:r>
              <w:t>8,8</w:t>
            </w:r>
          </w:p>
        </w:tc>
      </w:tr>
      <w:tr w:rsidR="003427EF" w:rsidTr="00924998">
        <w:trPr>
          <w:cantSplit/>
          <w:trHeight w:val="269"/>
          <w:jc w:val="center"/>
        </w:trPr>
        <w:tc>
          <w:tcPr>
            <w:tcW w:w="1289"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ПКСД-21п</w:t>
            </w:r>
          </w:p>
        </w:tc>
        <w:tc>
          <w:tcPr>
            <w:tcW w:w="911"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43,4</w:t>
            </w:r>
          </w:p>
        </w:tc>
        <w:tc>
          <w:tcPr>
            <w:tcW w:w="926"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51,0</w:t>
            </w:r>
          </w:p>
        </w:tc>
        <w:tc>
          <w:tcPr>
            <w:tcW w:w="890"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5,3</w:t>
            </w:r>
          </w:p>
        </w:tc>
        <w:tc>
          <w:tcPr>
            <w:tcW w:w="985" w:type="pct"/>
            <w:tcBorders>
              <w:top w:val="single" w:sz="8"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0,2</w:t>
            </w:r>
          </w:p>
        </w:tc>
      </w:tr>
      <w:tr w:rsidR="003427EF" w:rsidTr="00924998">
        <w:trPr>
          <w:cantSplit/>
          <w:trHeight w:val="261"/>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ПКСД-31п</w:t>
            </w: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46,2</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48,6</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4,8</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0,3</w:t>
            </w:r>
          </w:p>
        </w:tc>
      </w:tr>
      <w:tr w:rsidR="003427EF" w:rsidTr="00924998">
        <w:trPr>
          <w:cantSplit/>
          <w:trHeight w:val="261"/>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ПКСД-41п</w:t>
            </w:r>
          </w:p>
        </w:tc>
        <w:tc>
          <w:tcPr>
            <w:tcW w:w="911"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48,0</w:t>
            </w:r>
          </w:p>
        </w:tc>
        <w:tc>
          <w:tcPr>
            <w:tcW w:w="926"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47,1</w:t>
            </w:r>
          </w:p>
        </w:tc>
        <w:tc>
          <w:tcPr>
            <w:tcW w:w="890"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4,5</w:t>
            </w:r>
          </w:p>
        </w:tc>
        <w:tc>
          <w:tcPr>
            <w:tcW w:w="985" w:type="pct"/>
            <w:tcBorders>
              <w:top w:val="single" w:sz="4" w:space="0" w:color="auto"/>
              <w:left w:val="single" w:sz="4" w:space="0" w:color="auto"/>
              <w:bottom w:val="single" w:sz="4" w:space="0" w:color="auto"/>
              <w:right w:val="single" w:sz="4" w:space="0" w:color="auto"/>
            </w:tcBorders>
            <w:vAlign w:val="center"/>
            <w:hideMark/>
          </w:tcPr>
          <w:p w:rsidR="003427EF" w:rsidRDefault="003427EF" w:rsidP="005F1664">
            <w:pPr>
              <w:widowControl w:val="0"/>
              <w:suppressAutoHyphens/>
              <w:jc w:val="center"/>
              <w:rPr>
                <w:lang w:eastAsia="en-US"/>
              </w:rPr>
            </w:pPr>
            <w:r>
              <w:t>0,3</w:t>
            </w:r>
          </w:p>
        </w:tc>
      </w:tr>
    </w:tbl>
    <w:p w:rsidR="005F1664" w:rsidRDefault="005F1664" w:rsidP="005F1664">
      <w:pPr>
        <w:suppressAutoHyphens/>
        <w:spacing w:line="360" w:lineRule="auto"/>
        <w:ind w:firstLine="709"/>
        <w:jc w:val="both"/>
      </w:pPr>
    </w:p>
    <w:p w:rsidR="003427EF" w:rsidRPr="005F1664" w:rsidRDefault="003427EF" w:rsidP="005F1664">
      <w:pPr>
        <w:suppressAutoHyphens/>
        <w:spacing w:line="360" w:lineRule="auto"/>
        <w:ind w:firstLine="709"/>
        <w:jc w:val="both"/>
        <w:rPr>
          <w:sz w:val="28"/>
        </w:rPr>
      </w:pPr>
      <w:r w:rsidRPr="005F1664">
        <w:rPr>
          <w:sz w:val="28"/>
        </w:rPr>
        <w:t xml:space="preserve">Рентгенофазовый анализ порошковых образцов SiC-керамики показал, что в образцах керамического материала малоугловая кривая максимума не </w:t>
      </w:r>
      <w:r w:rsidRPr="005F1664">
        <w:rPr>
          <w:sz w:val="28"/>
        </w:rPr>
        <w:lastRenderedPageBreak/>
        <w:t xml:space="preserve">имеет, следовательно, область диффузного рассеяния в данных областях больше 4 нм. В интервале углов от 30° до 40° на </w:t>
      </w:r>
      <w:r w:rsidR="00A30A73" w:rsidRPr="005F1664">
        <w:rPr>
          <w:sz w:val="28"/>
        </w:rPr>
        <w:t>дифрактограммах образцов (рис. 5</w:t>
      </w:r>
      <w:r w:rsidRPr="005F1664">
        <w:rPr>
          <w:sz w:val="28"/>
        </w:rPr>
        <w:t>а,б,в) находятся аморфные гало, положения которых соответствуют положению первой линии на штрих-диаграмме карбида кремния. Также во всех образцах присутствуют следы оксида кремния (SiO</w:t>
      </w:r>
      <w:r w:rsidRPr="005F1664">
        <w:rPr>
          <w:sz w:val="28"/>
          <w:vertAlign w:val="subscript"/>
        </w:rPr>
        <w:t>2</w:t>
      </w:r>
      <w:r w:rsidRPr="005F1664">
        <w:rPr>
          <w:sz w:val="28"/>
        </w:rPr>
        <w:t>-кварц).</w:t>
      </w:r>
    </w:p>
    <w:p w:rsidR="003427EF" w:rsidRDefault="003427EF" w:rsidP="005F1664">
      <w:pPr>
        <w:suppressAutoHyphens/>
        <w:spacing w:line="360" w:lineRule="auto"/>
        <w:ind w:firstLine="709"/>
        <w:jc w:val="both"/>
      </w:pPr>
    </w:p>
    <w:p w:rsidR="003427EF" w:rsidRDefault="003427EF" w:rsidP="005F1664">
      <w:pPr>
        <w:suppressAutoHyphens/>
        <w:spacing w:line="360" w:lineRule="auto"/>
        <w:jc w:val="center"/>
      </w:pPr>
      <w:r>
        <w:rPr>
          <w:noProof/>
        </w:rPr>
        <w:drawing>
          <wp:inline distT="0" distB="0" distL="0" distR="0">
            <wp:extent cx="3950918" cy="214884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8386" cy="2158340"/>
                    </a:xfrm>
                    <a:prstGeom prst="rect">
                      <a:avLst/>
                    </a:prstGeom>
                    <a:noFill/>
                    <a:ln>
                      <a:noFill/>
                    </a:ln>
                  </pic:spPr>
                </pic:pic>
              </a:graphicData>
            </a:graphic>
          </wp:inline>
        </w:drawing>
      </w:r>
    </w:p>
    <w:p w:rsidR="003427EF" w:rsidRDefault="003427EF" w:rsidP="005F1664">
      <w:pPr>
        <w:suppressAutoHyphens/>
        <w:spacing w:line="360" w:lineRule="auto"/>
        <w:jc w:val="center"/>
      </w:pPr>
      <w:r>
        <w:rPr>
          <w:noProof/>
        </w:rPr>
        <w:drawing>
          <wp:inline distT="0" distB="0" distL="0" distR="0">
            <wp:extent cx="4015740" cy="215646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435" cy="2158444"/>
                    </a:xfrm>
                    <a:prstGeom prst="rect">
                      <a:avLst/>
                    </a:prstGeom>
                    <a:noFill/>
                    <a:ln>
                      <a:noFill/>
                    </a:ln>
                  </pic:spPr>
                </pic:pic>
              </a:graphicData>
            </a:graphic>
          </wp:inline>
        </w:drawing>
      </w:r>
    </w:p>
    <w:p w:rsidR="003427EF" w:rsidRDefault="003427EF" w:rsidP="005F1664">
      <w:pPr>
        <w:suppressAutoHyphens/>
        <w:spacing w:line="360" w:lineRule="auto"/>
        <w:jc w:val="center"/>
      </w:pPr>
      <w:r>
        <w:rPr>
          <w:noProof/>
        </w:rPr>
        <w:drawing>
          <wp:inline distT="0" distB="0" distL="0" distR="0">
            <wp:extent cx="3916680" cy="2148840"/>
            <wp:effectExtent l="0" t="0" r="762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0654" cy="2151020"/>
                    </a:xfrm>
                    <a:prstGeom prst="rect">
                      <a:avLst/>
                    </a:prstGeom>
                    <a:noFill/>
                    <a:ln>
                      <a:noFill/>
                    </a:ln>
                  </pic:spPr>
                </pic:pic>
              </a:graphicData>
            </a:graphic>
          </wp:inline>
        </w:drawing>
      </w:r>
    </w:p>
    <w:p w:rsidR="003427EF" w:rsidRPr="006602C0" w:rsidRDefault="00A30A73" w:rsidP="005F1664">
      <w:pPr>
        <w:suppressAutoHyphens/>
        <w:spacing w:line="360" w:lineRule="auto"/>
        <w:jc w:val="center"/>
      </w:pPr>
      <w:r>
        <w:t>Рисунок 5</w:t>
      </w:r>
      <w:r w:rsidR="003427EF" w:rsidRPr="006602C0">
        <w:t xml:space="preserve">. Дифрактограммы образцов </w:t>
      </w:r>
      <w:r w:rsidR="003427EF">
        <w:t>керамического материала: а) – ПКСД</w:t>
      </w:r>
      <w:r w:rsidR="003427EF" w:rsidRPr="006602C0">
        <w:t>-21</w:t>
      </w:r>
      <w:r w:rsidR="003427EF">
        <w:t>п</w:t>
      </w:r>
      <w:r w:rsidR="003427EF" w:rsidRPr="006602C0">
        <w:t xml:space="preserve">, </w:t>
      </w:r>
      <w:r w:rsidR="003427EF">
        <w:t xml:space="preserve">б) – </w:t>
      </w:r>
      <w:r w:rsidR="003427EF" w:rsidRPr="006602C0">
        <w:t>ПКС</w:t>
      </w:r>
      <w:r w:rsidR="003427EF">
        <w:t>Д-31п</w:t>
      </w:r>
      <w:r w:rsidR="003427EF" w:rsidRPr="006602C0">
        <w:t xml:space="preserve">, </w:t>
      </w:r>
      <w:r w:rsidR="003427EF">
        <w:t>в) – ПКСД</w:t>
      </w:r>
      <w:r w:rsidR="003427EF" w:rsidRPr="006602C0">
        <w:t>-41</w:t>
      </w:r>
      <w:r w:rsidR="003427EF">
        <w:t>п.</w:t>
      </w:r>
    </w:p>
    <w:p w:rsidR="003427EF" w:rsidRPr="005F1664" w:rsidRDefault="003427EF" w:rsidP="005F1664">
      <w:pPr>
        <w:suppressAutoHyphens/>
        <w:spacing w:line="360" w:lineRule="auto"/>
        <w:ind w:firstLine="709"/>
        <w:jc w:val="both"/>
        <w:rPr>
          <w:sz w:val="28"/>
        </w:rPr>
      </w:pPr>
      <w:r w:rsidRPr="005F1664">
        <w:rPr>
          <w:sz w:val="28"/>
        </w:rPr>
        <w:lastRenderedPageBreak/>
        <w:t>Методом сканирующей электронной микроскопии проведены исследования микроструктуры керамики, полученной в результате пиролиза полимерного прекурсора ПКСД-21 в инертной среде до 800 °С. Исследовалась микроструктура излома образца керамики, на котором имелись области с крупными (до 1 мм) порами и поверхности излома (прослойки) между порами. Микроструктурные исследования образца керамики показали, что внутренняя поверхность поры состоит из слоистой структуры, что отчетливо видно на ри</w:t>
      </w:r>
      <w:r w:rsidR="00A30A73" w:rsidRPr="005F1664">
        <w:rPr>
          <w:sz w:val="28"/>
        </w:rPr>
        <w:t>сунке 6</w:t>
      </w:r>
      <w:r w:rsidRPr="005F1664">
        <w:rPr>
          <w:sz w:val="28"/>
        </w:rPr>
        <w:t>а. Толщина пленки составляет 10-20 нм. Микрофазовая структура матрицы на внутренней поверхности пор двухфазная, имеет участки со сферическими включениями раз</w:t>
      </w:r>
      <w:r w:rsidR="00690DE0" w:rsidRPr="005F1664">
        <w:rPr>
          <w:sz w:val="28"/>
        </w:rPr>
        <w:t>мерами от 1 до 3 мкм (рис. 6</w:t>
      </w:r>
      <w:r w:rsidRPr="005F1664">
        <w:rPr>
          <w:sz w:val="28"/>
        </w:rPr>
        <w:t>б). На поверхности скола образца керамики, расположенного между порами, наблюдается пучок ветвящихся трещин, направленных от очага ра</w:t>
      </w:r>
      <w:r w:rsidRPr="005F1664">
        <w:rPr>
          <w:sz w:val="28"/>
        </w:rPr>
        <w:t>з</w:t>
      </w:r>
      <w:r w:rsidRPr="005F1664">
        <w:rPr>
          <w:sz w:val="28"/>
        </w:rPr>
        <w:t>руше</w:t>
      </w:r>
      <w:r w:rsidR="00690DE0" w:rsidRPr="005F1664">
        <w:rPr>
          <w:sz w:val="28"/>
        </w:rPr>
        <w:t>ния (рис. 7</w:t>
      </w:r>
      <w:r w:rsidRPr="005F1664">
        <w:rPr>
          <w:sz w:val="28"/>
        </w:rPr>
        <w:t>а, показаны стрелкой). В зоне долома наблюдается усиление ветвления микротрещин с отделением пластичных</w:t>
      </w:r>
      <w:r w:rsidR="00690DE0" w:rsidRPr="005F1664">
        <w:rPr>
          <w:sz w:val="28"/>
        </w:rPr>
        <w:t xml:space="preserve"> волокнистых образований (рис. 7</w:t>
      </w:r>
      <w:r w:rsidRPr="005F1664">
        <w:rPr>
          <w:sz w:val="28"/>
        </w:rPr>
        <w:t>б). Микрофазовая структура скола матрицы, так же как и в порах, двухфазная, в ней присутствуют включения сферической формы, размеры которых находятся в интервале от 1 до 5 мкм (рис. 8в). Следует отметить, что микроструктура излома керамики между включениями второй фазы аналогична структуре поверхности поры.</w:t>
      </w:r>
    </w:p>
    <w:p w:rsidR="003427EF" w:rsidRDefault="008212F0" w:rsidP="005F1664">
      <w:pPr>
        <w:suppressAutoHyphens/>
        <w:spacing w:line="360" w:lineRule="auto"/>
        <w:ind w:firstLine="709"/>
        <w:jc w:val="both"/>
      </w:pPr>
      <w:r>
        <w:rPr>
          <w:noProof/>
        </w:rPr>
        <w:pict>
          <v:shapetype id="_x0000_t202" coordsize="21600,21600" o:spt="202" path="m,l,21600r21600,l21600,xe">
            <v:stroke joinstyle="miter"/>
            <v:path gradientshapeok="t" o:connecttype="rect"/>
          </v:shapetype>
          <v:shape id="Поле 29" o:spid="_x0000_s1026" type="#_x0000_t202" style="position:absolute;left:0;text-align:left;margin-left:267.15pt;margin-top:0;width:28.2pt;height:21.2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" stroked="f">
            <v:textbox>
              <w:txbxContent>
                <w:p w:rsidR="00924998" w:rsidRDefault="00924998" w:rsidP="003427EF">
                  <w:r>
                    <w:t>б)</w:t>
                  </w:r>
                </w:p>
              </w:txbxContent>
            </v:textbox>
          </v:shape>
        </w:pict>
      </w:r>
      <w:r>
        <w:rPr>
          <w:noProof/>
        </w:rPr>
        <w:pict>
          <v:shape id="Поле 307" o:spid="_x0000_s1027" type="#_x0000_t202" style="position:absolute;left:0;text-align:left;margin-left:4.45pt;margin-top:-.15pt;width:26.9pt;height:21.8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" stroked="f">
            <v:textbox>
              <w:txbxContent>
                <w:p w:rsidR="00924998" w:rsidRDefault="00924998" w:rsidP="003427EF">
                  <w:r>
                    <w:t>а)</w:t>
                  </w:r>
                </w:p>
              </w:txbxContent>
            </v:textbox>
          </v:shape>
        </w:pict>
      </w:r>
      <w:r w:rsidR="003427EF">
        <w:rPr>
          <w:noProof/>
        </w:rPr>
        <w:drawing>
          <wp:inline distT="0" distB="0" distL="0" distR="0">
            <wp:extent cx="2331720" cy="158725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1720" cy="1587255"/>
                    </a:xfrm>
                    <a:prstGeom prst="rect">
                      <a:avLst/>
                    </a:prstGeom>
                    <a:noFill/>
                    <a:ln>
                      <a:noFill/>
                    </a:ln>
                  </pic:spPr>
                </pic:pic>
              </a:graphicData>
            </a:graphic>
          </wp:inline>
        </w:drawing>
      </w:r>
      <w:r w:rsidR="003427EF">
        <w:t xml:space="preserve">                           </w:t>
      </w:r>
      <w:r w:rsidR="003427EF">
        <w:rPr>
          <w:noProof/>
        </w:rPr>
        <w:drawing>
          <wp:inline distT="0" distB="0" distL="0" distR="0">
            <wp:extent cx="2118360" cy="15871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1977" cy="1589880"/>
                    </a:xfrm>
                    <a:prstGeom prst="rect">
                      <a:avLst/>
                    </a:prstGeom>
                    <a:noFill/>
                    <a:ln>
                      <a:noFill/>
                    </a:ln>
                  </pic:spPr>
                </pic:pic>
              </a:graphicData>
            </a:graphic>
          </wp:inline>
        </w:drawing>
      </w:r>
    </w:p>
    <w:p w:rsidR="003427EF" w:rsidRDefault="00690DE0" w:rsidP="005F1664">
      <w:pPr>
        <w:suppressAutoHyphens/>
        <w:spacing w:line="360" w:lineRule="auto"/>
        <w:jc w:val="center"/>
      </w:pPr>
      <w:r>
        <w:t>Рисунок 6</w:t>
      </w:r>
      <w:r w:rsidR="003427EF">
        <w:t>. Микроструктура поверхности образца керамики: а) слоистая структура внутренней поверхности поры (увеличено в 2000 раз); б) микрофазовая структура матрицы внутренней поверхности поры (увеличено в 10000 раз).</w:t>
      </w:r>
    </w:p>
    <w:p w:rsidR="003427EF" w:rsidRDefault="003427EF" w:rsidP="005F1664">
      <w:pPr>
        <w:suppressAutoHyphens/>
        <w:spacing w:line="360" w:lineRule="auto"/>
        <w:jc w:val="center"/>
      </w:pPr>
      <w:r>
        <w:rPr>
          <w:noProof/>
        </w:rPr>
        <w:lastRenderedPageBreak/>
        <w:drawing>
          <wp:inline distT="0" distB="0" distL="0" distR="0">
            <wp:extent cx="4297680" cy="3028566"/>
            <wp:effectExtent l="0" t="0" r="762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0564" cy="3030598"/>
                    </a:xfrm>
                    <a:prstGeom prst="rect">
                      <a:avLst/>
                    </a:prstGeom>
                    <a:noFill/>
                    <a:ln>
                      <a:noFill/>
                    </a:ln>
                  </pic:spPr>
                </pic:pic>
              </a:graphicData>
            </a:graphic>
          </wp:inline>
        </w:drawing>
      </w:r>
    </w:p>
    <w:p w:rsidR="003427EF" w:rsidRDefault="00690DE0" w:rsidP="005F1664">
      <w:pPr>
        <w:suppressAutoHyphens/>
        <w:spacing w:line="360" w:lineRule="auto"/>
        <w:jc w:val="center"/>
      </w:pPr>
      <w:r>
        <w:t>Рисунок 7</w:t>
      </w:r>
      <w:r w:rsidR="003427EF">
        <w:t>. Микроструктура поверхности скола образца керамики: а) трещины и фазовые включения вблизи очага разрушения (увеличено в 2000 раз); б) пластичные волокнистые образования (увеличено в 2000 раз); в) двухфазная структура (увеличено в 6000 раз).</w:t>
      </w:r>
    </w:p>
    <w:p w:rsidR="003427EF" w:rsidRDefault="003427EF" w:rsidP="005F1664">
      <w:pPr>
        <w:suppressAutoHyphens/>
        <w:spacing w:line="360" w:lineRule="auto"/>
        <w:ind w:firstLine="709"/>
        <w:jc w:val="both"/>
        <w:rPr>
          <w:sz w:val="28"/>
        </w:rPr>
      </w:pPr>
      <w:r w:rsidRPr="005F1664">
        <w:rPr>
          <w:sz w:val="28"/>
        </w:rPr>
        <w:t>В процессе исследования была проведена предварительная оценка термоокислительной устойчивости керамических продуктов пиролиза по результатам СТА, проведен</w:t>
      </w:r>
      <w:r w:rsidR="00690DE0" w:rsidRPr="005F1664">
        <w:rPr>
          <w:sz w:val="28"/>
        </w:rPr>
        <w:t>ного на воздухе, рис. 8</w:t>
      </w:r>
      <w:r w:rsidRPr="005F1664">
        <w:rPr>
          <w:sz w:val="28"/>
        </w:rPr>
        <w:t>а,б. Установлено, что потери массы образцов композиций до 1200 °С составляют не более 0,1 % мас., независимо от соотношения исходных компонентов. Дальнейший подъем температуры приводит к незначительному (до 0,2 % мас.) росту потерь массы, сопровождающемуся тепловым эффектом, величина которого возрастает с увеличением содержания в композиции ДБА.</w:t>
      </w:r>
    </w:p>
    <w:p w:rsidR="005F1664" w:rsidRPr="005F1664" w:rsidRDefault="005F1664" w:rsidP="005F1664">
      <w:pPr>
        <w:suppressAutoHyphens/>
        <w:spacing w:line="360" w:lineRule="auto"/>
        <w:ind w:firstLine="709"/>
        <w:jc w:val="both"/>
        <w:rPr>
          <w:sz w:val="28"/>
        </w:rPr>
      </w:pPr>
    </w:p>
    <w:p w:rsidR="003427EF" w:rsidRDefault="003427EF" w:rsidP="005F1664">
      <w:pPr>
        <w:suppressAutoHyphens/>
        <w:spacing w:line="360" w:lineRule="auto"/>
        <w:ind w:firstLine="709"/>
        <w:jc w:val="center"/>
      </w:pPr>
      <w:r>
        <w:rPr>
          <w:noProof/>
        </w:rPr>
        <w:lastRenderedPageBreak/>
        <w:drawing>
          <wp:inline distT="0" distB="0" distL="0" distR="0">
            <wp:extent cx="4998720" cy="2720340"/>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2" cstate="print">
                      <a:grayscl/>
                      <a:biLevel thresh="5000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3">
                              <a14:imgEffect>
                                <a14:sharpenSoften amount="54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8720" cy="2720340"/>
                    </a:xfrm>
                    <a:prstGeom prst="rect">
                      <a:avLst/>
                    </a:prstGeom>
                    <a:noFill/>
                    <a:ln>
                      <a:noFill/>
                    </a:ln>
                  </pic:spPr>
                </pic:pic>
              </a:graphicData>
            </a:graphic>
          </wp:inline>
        </w:drawing>
      </w:r>
    </w:p>
    <w:p w:rsidR="003427EF" w:rsidRDefault="003427EF" w:rsidP="005F1664">
      <w:pPr>
        <w:suppressAutoHyphens/>
        <w:spacing w:line="360" w:lineRule="auto"/>
        <w:jc w:val="center"/>
      </w:pPr>
      <w:r>
        <w:rPr>
          <w:noProof/>
        </w:rPr>
        <w:drawing>
          <wp:inline distT="0" distB="0" distL="0" distR="0">
            <wp:extent cx="4693920" cy="25755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4" cstate="print">
                      <a:grayscl/>
                      <a:biLevel thresh="5000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sharpenSoften amount="47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3920" cy="2575560"/>
                    </a:xfrm>
                    <a:prstGeom prst="rect">
                      <a:avLst/>
                    </a:prstGeom>
                    <a:noFill/>
                    <a:ln>
                      <a:noFill/>
                    </a:ln>
                  </pic:spPr>
                </pic:pic>
              </a:graphicData>
            </a:graphic>
          </wp:inline>
        </w:drawing>
      </w:r>
    </w:p>
    <w:p w:rsidR="003427EF" w:rsidRDefault="00690DE0" w:rsidP="005F1664">
      <w:pPr>
        <w:tabs>
          <w:tab w:val="left" w:pos="1418"/>
          <w:tab w:val="left" w:pos="1843"/>
        </w:tabs>
        <w:suppressAutoHyphens/>
        <w:spacing w:line="360" w:lineRule="auto"/>
        <w:jc w:val="center"/>
        <w:rPr>
          <w:rFonts w:cstheme="minorBidi"/>
        </w:rPr>
      </w:pPr>
      <w:r>
        <w:t>Рисунок 8</w:t>
      </w:r>
      <w:r w:rsidR="003427EF">
        <w:t>. Кривые ТГА (а) ДСК (б) термоокислительной деструкции керамических продуктов пиролиза: 1 – ПКСД-21п, 2 – ПКСД-31п, 3 – ПКСД-41п.</w:t>
      </w:r>
    </w:p>
    <w:p w:rsidR="003427EF" w:rsidRPr="005F1664" w:rsidRDefault="003427EF" w:rsidP="005F1664">
      <w:pPr>
        <w:suppressAutoHyphens/>
        <w:spacing w:line="360" w:lineRule="auto"/>
        <w:ind w:firstLine="709"/>
        <w:jc w:val="both"/>
        <w:rPr>
          <w:sz w:val="28"/>
        </w:rPr>
      </w:pPr>
      <w:r w:rsidRPr="005F1664">
        <w:rPr>
          <w:sz w:val="28"/>
        </w:rPr>
        <w:t>Образец керамики, полученный в результате пиролиза композиции ПКСД-41, также подвергали термообработке на воздухе при температуре 1000 °С в течение 30 ч и рег</w:t>
      </w:r>
      <w:r w:rsidRPr="005F1664">
        <w:rPr>
          <w:sz w:val="28"/>
        </w:rPr>
        <w:t>и</w:t>
      </w:r>
      <w:r w:rsidRPr="005F1664">
        <w:rPr>
          <w:sz w:val="28"/>
        </w:rPr>
        <w:t xml:space="preserve">стрировали изменение массы образца. </w:t>
      </w:r>
    </w:p>
    <w:p w:rsidR="003427EF" w:rsidRPr="005F1664" w:rsidRDefault="003427EF" w:rsidP="005F1664">
      <w:pPr>
        <w:suppressAutoHyphens/>
        <w:spacing w:line="360" w:lineRule="auto"/>
        <w:ind w:firstLine="709"/>
        <w:jc w:val="both"/>
        <w:rPr>
          <w:sz w:val="28"/>
        </w:rPr>
      </w:pPr>
      <w:r w:rsidRPr="005F1664">
        <w:rPr>
          <w:sz w:val="28"/>
        </w:rPr>
        <w:t>Полученные ре</w:t>
      </w:r>
      <w:r w:rsidR="00690DE0" w:rsidRPr="005F1664">
        <w:rPr>
          <w:sz w:val="28"/>
        </w:rPr>
        <w:t>зультаты приведены на рисунке 9</w:t>
      </w:r>
      <w:r w:rsidRPr="005F1664">
        <w:rPr>
          <w:sz w:val="28"/>
        </w:rPr>
        <w:t xml:space="preserve">. Видно, что образец теряет в течение первых 3-х ч 1,5 % своей массы, а при дальнейшей обработке масса образца остается практически постоянной. </w:t>
      </w:r>
    </w:p>
    <w:p w:rsidR="003427EF" w:rsidRDefault="003427EF" w:rsidP="005F1664">
      <w:pPr>
        <w:suppressAutoHyphens/>
        <w:spacing w:line="360" w:lineRule="auto"/>
        <w:ind w:firstLine="709"/>
        <w:jc w:val="center"/>
      </w:pPr>
      <w:r>
        <w:rPr>
          <w:noProof/>
        </w:rPr>
        <w:lastRenderedPageBreak/>
        <w:drawing>
          <wp:inline distT="0" distB="0" distL="0" distR="0">
            <wp:extent cx="4652064" cy="2544418"/>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8156" cy="2547750"/>
                    </a:xfrm>
                    <a:prstGeom prst="rect">
                      <a:avLst/>
                    </a:prstGeom>
                    <a:noFill/>
                    <a:ln>
                      <a:noFill/>
                    </a:ln>
                  </pic:spPr>
                </pic:pic>
              </a:graphicData>
            </a:graphic>
          </wp:inline>
        </w:drawing>
      </w:r>
    </w:p>
    <w:p w:rsidR="003427EF" w:rsidRDefault="00690DE0" w:rsidP="005F1664">
      <w:pPr>
        <w:tabs>
          <w:tab w:val="left" w:pos="1418"/>
          <w:tab w:val="left" w:pos="1843"/>
        </w:tabs>
        <w:suppressAutoHyphens/>
        <w:spacing w:line="360" w:lineRule="auto"/>
        <w:jc w:val="center"/>
      </w:pPr>
      <w:r>
        <w:t>Рисунок 9</w:t>
      </w:r>
      <w:r w:rsidR="003427EF">
        <w:t>. Термоокислительная деструкция керамического продукта пиролиза композиции ПКСД-41.</w:t>
      </w:r>
    </w:p>
    <w:p w:rsidR="00A07381" w:rsidRDefault="00A07381" w:rsidP="005F1664">
      <w:pPr>
        <w:suppressAutoHyphens/>
        <w:spacing w:line="360" w:lineRule="auto"/>
        <w:jc w:val="both"/>
      </w:pPr>
    </w:p>
    <w:p w:rsidR="00A07381" w:rsidRDefault="00A07381" w:rsidP="005F1664">
      <w:pPr>
        <w:suppressAutoHyphens/>
        <w:spacing w:line="360" w:lineRule="auto"/>
        <w:ind w:firstLine="686"/>
        <w:jc w:val="both"/>
        <w:rPr>
          <w:i/>
        </w:rPr>
      </w:pPr>
      <w:r w:rsidRPr="005F1664">
        <w:rPr>
          <w:i/>
        </w:rPr>
        <w:t>Работа выполнена при под</w:t>
      </w:r>
      <w:r w:rsidR="000F7AF3" w:rsidRPr="005F1664">
        <w:rPr>
          <w:i/>
        </w:rPr>
        <w:t>держке РФФИ, проект 13-03-00150</w:t>
      </w:r>
      <w:r w:rsidRPr="005F1664">
        <w:rPr>
          <w:i/>
        </w:rPr>
        <w:t>.</w:t>
      </w:r>
    </w:p>
    <w:p w:rsidR="005F1664" w:rsidRDefault="005F1664" w:rsidP="005F1664">
      <w:pPr>
        <w:suppressAutoHyphens/>
        <w:spacing w:line="360" w:lineRule="auto"/>
        <w:ind w:firstLine="686"/>
        <w:jc w:val="both"/>
      </w:pPr>
    </w:p>
    <w:p w:rsidR="00A07381" w:rsidRPr="005F1664" w:rsidRDefault="005F1664" w:rsidP="005F1664">
      <w:pPr>
        <w:suppressAutoHyphens/>
        <w:spacing w:line="360" w:lineRule="auto"/>
        <w:ind w:firstLine="709"/>
        <w:jc w:val="both"/>
        <w:rPr>
          <w:sz w:val="28"/>
        </w:rPr>
      </w:pPr>
      <w:r w:rsidRPr="005F1664">
        <w:rPr>
          <w:sz w:val="28"/>
        </w:rPr>
        <w:t>Литература</w:t>
      </w:r>
    </w:p>
    <w:p w:rsidR="00AE0AE5" w:rsidRPr="005F1664" w:rsidRDefault="00976153" w:rsidP="005F1664">
      <w:pPr>
        <w:suppressAutoHyphens/>
        <w:spacing w:line="360" w:lineRule="auto"/>
        <w:ind w:firstLine="709"/>
        <w:jc w:val="both"/>
        <w:rPr>
          <w:sz w:val="28"/>
        </w:rPr>
      </w:pPr>
      <w:r w:rsidRPr="005F1664">
        <w:rPr>
          <w:sz w:val="28"/>
        </w:rPr>
        <w:t xml:space="preserve">1. </w:t>
      </w:r>
      <w:r w:rsidR="00AE0AE5" w:rsidRPr="005F1664">
        <w:rPr>
          <w:sz w:val="28"/>
        </w:rPr>
        <w:t>Каблов Е.Н. Стратегические направления развития материалов и технологий их переработки на период до 2030 года //Авиационные материалы и технологии. 2012. №</w:t>
      </w:r>
      <w:r w:rsidR="00AE0AE5" w:rsidRPr="005F1664">
        <w:rPr>
          <w:sz w:val="28"/>
          <w:lang w:val="en-US"/>
        </w:rPr>
        <w:t>S</w:t>
      </w:r>
      <w:r w:rsidR="00AE0AE5" w:rsidRPr="005F1664">
        <w:rPr>
          <w:sz w:val="28"/>
        </w:rPr>
        <w:t>. С. 7–17.</w:t>
      </w:r>
    </w:p>
    <w:p w:rsidR="00976153" w:rsidRPr="005F1664" w:rsidRDefault="00976153" w:rsidP="005F1664">
      <w:pPr>
        <w:suppressAutoHyphens/>
        <w:spacing w:line="360" w:lineRule="auto"/>
        <w:ind w:firstLine="709"/>
        <w:jc w:val="both"/>
        <w:rPr>
          <w:rFonts w:eastAsia="Times New Roman"/>
          <w:sz w:val="28"/>
        </w:rPr>
      </w:pPr>
      <w:r w:rsidRPr="005F1664">
        <w:rPr>
          <w:rFonts w:eastAsia="Times New Roman"/>
          <w:sz w:val="28"/>
        </w:rPr>
        <w:t xml:space="preserve">2. Каблов Е.Н., Солнцев С.С., Розененкова В.А., Миронова Н.А. Композиционные стеклокерамические покрытия для защиты бериллия при высоких температурах //Стекло и керамика. </w:t>
      </w:r>
      <w:r w:rsidRPr="005F1664">
        <w:rPr>
          <w:sz w:val="28"/>
        </w:rPr>
        <w:t>2012. №4. С. 12−15.</w:t>
      </w:r>
    </w:p>
    <w:p w:rsidR="00976153" w:rsidRPr="005F1664" w:rsidRDefault="00976153" w:rsidP="005F1664">
      <w:pPr>
        <w:suppressAutoHyphens/>
        <w:spacing w:line="360" w:lineRule="auto"/>
        <w:ind w:firstLine="709"/>
        <w:jc w:val="both"/>
        <w:rPr>
          <w:rFonts w:eastAsia="Times New Roman"/>
          <w:sz w:val="28"/>
        </w:rPr>
      </w:pPr>
      <w:r w:rsidRPr="005F1664">
        <w:rPr>
          <w:rFonts w:eastAsia="Times New Roman"/>
          <w:sz w:val="28"/>
        </w:rPr>
        <w:t xml:space="preserve">3. Каблов Е.Н., Щетанов Б.В., Ивахненко Ю.А., Балинова Ю.А. Перспективные армирующие высокотемпературные волокна для металлических и керамических композиционных материалов //Труды ВИАМ. </w:t>
      </w:r>
      <w:r w:rsidRPr="005F1664">
        <w:rPr>
          <w:sz w:val="28"/>
        </w:rPr>
        <w:t>2013. №2. Ст. 05 (</w:t>
      </w:r>
      <w:r w:rsidRPr="005F1664">
        <w:rPr>
          <w:sz w:val="28"/>
          <w:lang w:val="en-US"/>
        </w:rPr>
        <w:t>viam</w:t>
      </w:r>
      <w:r w:rsidRPr="005F1664">
        <w:rPr>
          <w:sz w:val="28"/>
        </w:rPr>
        <w:t>-</w:t>
      </w:r>
      <w:r w:rsidRPr="005F1664">
        <w:rPr>
          <w:sz w:val="28"/>
          <w:lang w:val="en-US"/>
        </w:rPr>
        <w:t>wjrks</w:t>
      </w:r>
      <w:r w:rsidRPr="005F1664">
        <w:rPr>
          <w:sz w:val="28"/>
        </w:rPr>
        <w:t>.</w:t>
      </w:r>
      <w:r w:rsidRPr="005F1664">
        <w:rPr>
          <w:sz w:val="28"/>
          <w:lang w:val="en-US"/>
        </w:rPr>
        <w:t>ru</w:t>
      </w:r>
      <w:r w:rsidRPr="005F1664">
        <w:rPr>
          <w:sz w:val="28"/>
        </w:rPr>
        <w:t>).</w:t>
      </w:r>
    </w:p>
    <w:p w:rsidR="00976153" w:rsidRPr="005F1664" w:rsidRDefault="00976153" w:rsidP="005F1664">
      <w:pPr>
        <w:pStyle w:val="a6"/>
        <w:suppressAutoHyphens/>
        <w:spacing w:line="360" w:lineRule="auto"/>
        <w:ind w:left="0" w:firstLine="709"/>
        <w:jc w:val="both"/>
        <w:rPr>
          <w:sz w:val="28"/>
        </w:rPr>
      </w:pPr>
      <w:r w:rsidRPr="005F1664">
        <w:rPr>
          <w:sz w:val="28"/>
        </w:rPr>
        <w:t>4. В.Т. Минаков, С.С. Солнцев. Керамоматричные композиты// «Все материалы. Энциклопедический справочник» 2007. № 2. С. 5 – 9.</w:t>
      </w:r>
    </w:p>
    <w:p w:rsidR="00976153" w:rsidRPr="005F1664" w:rsidRDefault="00976153" w:rsidP="005F1664">
      <w:pPr>
        <w:pStyle w:val="a6"/>
        <w:suppressAutoHyphens/>
        <w:spacing w:line="360" w:lineRule="auto"/>
        <w:ind w:left="0" w:firstLine="709"/>
        <w:jc w:val="both"/>
        <w:rPr>
          <w:sz w:val="28"/>
        </w:rPr>
      </w:pPr>
      <w:r w:rsidRPr="005F1664">
        <w:rPr>
          <w:sz w:val="28"/>
        </w:rPr>
        <w:t xml:space="preserve">5. Д.В. Гращенков, Г.М. Гуняев, В.Т. Минаков, Т.Г. Сорина </w:t>
      </w:r>
      <w:r w:rsidRPr="005F1664">
        <w:rPr>
          <w:sz w:val="28"/>
          <w:lang w:val="en-US"/>
        </w:rPr>
        <w:t>SiC</w:t>
      </w:r>
      <w:r w:rsidRPr="005F1664">
        <w:rPr>
          <w:sz w:val="28"/>
        </w:rPr>
        <w:t>/</w:t>
      </w:r>
      <w:r w:rsidRPr="005F1664">
        <w:rPr>
          <w:sz w:val="28"/>
          <w:lang w:val="en-US"/>
        </w:rPr>
        <w:t>SiC</w:t>
      </w:r>
      <w:r w:rsidRPr="005F1664">
        <w:rPr>
          <w:sz w:val="28"/>
        </w:rPr>
        <w:t xml:space="preserve"> композиты, армированные нитевидными кристаллами //«Все материалы. Энциклопедический справочник». 2012. № 5. С. 43-48.</w:t>
      </w:r>
    </w:p>
    <w:p w:rsidR="00976153" w:rsidRPr="005F1664" w:rsidRDefault="00976153" w:rsidP="005F1664">
      <w:pPr>
        <w:pStyle w:val="a6"/>
        <w:suppressAutoHyphens/>
        <w:spacing w:line="360" w:lineRule="auto"/>
        <w:ind w:left="0" w:firstLine="709"/>
        <w:jc w:val="both"/>
        <w:rPr>
          <w:sz w:val="28"/>
        </w:rPr>
      </w:pPr>
      <w:r w:rsidRPr="005F1664">
        <w:rPr>
          <w:sz w:val="28"/>
          <w:lang w:val="en-US"/>
        </w:rPr>
        <w:lastRenderedPageBreak/>
        <w:t xml:space="preserve">6. </w:t>
      </w:r>
      <w:r w:rsidRPr="005F1664">
        <w:rPr>
          <w:sz w:val="28"/>
        </w:rPr>
        <w:t>Р</w:t>
      </w:r>
      <w:r w:rsidRPr="005F1664">
        <w:rPr>
          <w:sz w:val="28"/>
          <w:lang w:val="en-US"/>
        </w:rPr>
        <w:t>. Colombo, G. Mera, R. Riedel, G. D. Soraru. Polymer-derived ceramics: 40 years of research and innovation in advanced ceramics //J. Am. Ceram</w:t>
      </w:r>
      <w:r w:rsidRPr="005F1664">
        <w:rPr>
          <w:sz w:val="28"/>
        </w:rPr>
        <w:t xml:space="preserve">. </w:t>
      </w:r>
      <w:r w:rsidRPr="005F1664">
        <w:rPr>
          <w:sz w:val="28"/>
          <w:lang w:val="en-US"/>
        </w:rPr>
        <w:t>Soc</w:t>
      </w:r>
      <w:r w:rsidRPr="005F1664">
        <w:rPr>
          <w:sz w:val="28"/>
        </w:rPr>
        <w:t xml:space="preserve">. 2010. </w:t>
      </w:r>
      <w:r w:rsidRPr="005F1664">
        <w:rPr>
          <w:sz w:val="28"/>
          <w:lang w:val="en-US"/>
        </w:rPr>
        <w:t>V</w:t>
      </w:r>
      <w:r w:rsidRPr="005F1664">
        <w:rPr>
          <w:sz w:val="28"/>
        </w:rPr>
        <w:t xml:space="preserve">. 7. № 93. </w:t>
      </w:r>
      <w:r w:rsidRPr="005F1664">
        <w:rPr>
          <w:sz w:val="28"/>
          <w:lang w:val="en-US"/>
        </w:rPr>
        <w:t>P</w:t>
      </w:r>
      <w:r w:rsidRPr="005F1664">
        <w:rPr>
          <w:sz w:val="28"/>
        </w:rPr>
        <w:t>. 1805-1837.</w:t>
      </w:r>
    </w:p>
    <w:p w:rsidR="00976153" w:rsidRPr="005F1664" w:rsidRDefault="00976153" w:rsidP="005F1664">
      <w:pPr>
        <w:suppressAutoHyphens/>
        <w:spacing w:line="360" w:lineRule="auto"/>
        <w:ind w:firstLine="709"/>
        <w:jc w:val="both"/>
        <w:rPr>
          <w:sz w:val="28"/>
        </w:rPr>
      </w:pPr>
      <w:r w:rsidRPr="005F1664">
        <w:rPr>
          <w:sz w:val="28"/>
        </w:rPr>
        <w:t>7. Швец Н.И., Минаков В.Т., Папков В.С., Бузин М.И., Бадьина Л.Ю., Шимкин А.А. Исследование термохимических превращений поликарбосилановых прекурсоров в керамическую матрицу //Журнал прикладной химии. 2014. Т. 87. № 6. С. 793-799.</w:t>
      </w:r>
    </w:p>
    <w:p w:rsidR="00AE0AE5" w:rsidRPr="005F1664" w:rsidRDefault="00AE0AE5" w:rsidP="005F1664">
      <w:pPr>
        <w:suppressAutoHyphens/>
        <w:spacing w:line="360" w:lineRule="auto"/>
        <w:ind w:firstLine="709"/>
        <w:jc w:val="both"/>
        <w:rPr>
          <w:sz w:val="28"/>
        </w:rPr>
      </w:pPr>
    </w:p>
    <w:sectPr w:rsidR="00AE0AE5" w:rsidRPr="005F1664" w:rsidSect="00690DE0">
      <w:footerReference w:type="default" r:id="rId37"/>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2234" w:rsidRDefault="005B2234" w:rsidP="00690DE0">
      <w:r>
        <w:separator/>
      </w:r>
    </w:p>
  </w:endnote>
  <w:endnote w:type="continuationSeparator" w:id="1">
    <w:p w:rsidR="005B2234" w:rsidRDefault="005B2234" w:rsidP="00690D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028100"/>
      <w:docPartObj>
        <w:docPartGallery w:val="Page Numbers (Bottom of Page)"/>
        <w:docPartUnique/>
      </w:docPartObj>
    </w:sdtPr>
    <w:sdtContent>
      <w:p w:rsidR="00690DE0" w:rsidRDefault="008212F0" w:rsidP="005F1664">
        <w:pPr>
          <w:pStyle w:val="ac"/>
          <w:jc w:val="center"/>
        </w:pPr>
        <w:r>
          <w:fldChar w:fldCharType="begin"/>
        </w:r>
        <w:r w:rsidR="00690DE0">
          <w:instrText>PAGE   \* MERGEFORMAT</w:instrText>
        </w:r>
        <w:r>
          <w:fldChar w:fldCharType="separate"/>
        </w:r>
        <w:r w:rsidR="005F1664">
          <w:rPr>
            <w:noProof/>
          </w:rPr>
          <w:t>15</w:t>
        </w:r>
        <w:r>
          <w:fldChar w:fldCharType="end"/>
        </w:r>
      </w:p>
    </w:sdtContent>
  </w:sdt>
  <w:p w:rsidR="00690DE0" w:rsidRDefault="00690DE0">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2234" w:rsidRDefault="005B2234" w:rsidP="00690DE0">
      <w:r>
        <w:separator/>
      </w:r>
    </w:p>
  </w:footnote>
  <w:footnote w:type="continuationSeparator" w:id="1">
    <w:p w:rsidR="005B2234" w:rsidRDefault="005B2234" w:rsidP="00690DE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3EF72DC"/>
    <w:multiLevelType w:val="singleLevel"/>
    <w:tmpl w:val="60AE72A0"/>
    <w:lvl w:ilvl="0">
      <w:start w:val="1"/>
      <w:numFmt w:val="bullet"/>
      <w:lvlText w:val="-"/>
      <w:lvlJc w:val="left"/>
      <w:pPr>
        <w:tabs>
          <w:tab w:val="num" w:pos="360"/>
        </w:tabs>
        <w:ind w:left="360" w:hanging="360"/>
      </w:pPr>
      <w:rPr>
        <w:rFonts w:ascii="Times New Roman" w:hAnsi="Times New Roman"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autoHyphenation/>
  <w:characterSpacingControl w:val="doNotCompress"/>
  <w:footnotePr>
    <w:footnote w:id="0"/>
    <w:footnote w:id="1"/>
  </w:footnotePr>
  <w:endnotePr>
    <w:endnote w:id="0"/>
    <w:endnote w:id="1"/>
  </w:endnotePr>
  <w:compat/>
  <w:rsids>
    <w:rsidRoot w:val="00866F5A"/>
    <w:rsid w:val="0005518B"/>
    <w:rsid w:val="000D6204"/>
    <w:rsid w:val="000F7AF3"/>
    <w:rsid w:val="0018722A"/>
    <w:rsid w:val="0022417A"/>
    <w:rsid w:val="002C50DA"/>
    <w:rsid w:val="002D2633"/>
    <w:rsid w:val="002D6F02"/>
    <w:rsid w:val="00301FAF"/>
    <w:rsid w:val="00324F18"/>
    <w:rsid w:val="003427EF"/>
    <w:rsid w:val="00350352"/>
    <w:rsid w:val="00546C67"/>
    <w:rsid w:val="00583E87"/>
    <w:rsid w:val="005B2234"/>
    <w:rsid w:val="005E04AF"/>
    <w:rsid w:val="005F1664"/>
    <w:rsid w:val="00603A01"/>
    <w:rsid w:val="00690DE0"/>
    <w:rsid w:val="006F0E6A"/>
    <w:rsid w:val="007C0BA7"/>
    <w:rsid w:val="008032E0"/>
    <w:rsid w:val="008212F0"/>
    <w:rsid w:val="00866F5A"/>
    <w:rsid w:val="008E07E6"/>
    <w:rsid w:val="00924998"/>
    <w:rsid w:val="009538E9"/>
    <w:rsid w:val="00976153"/>
    <w:rsid w:val="00991600"/>
    <w:rsid w:val="00994BA7"/>
    <w:rsid w:val="00A07381"/>
    <w:rsid w:val="00A30A73"/>
    <w:rsid w:val="00AB6330"/>
    <w:rsid w:val="00AE0AE5"/>
    <w:rsid w:val="00B95789"/>
    <w:rsid w:val="00BC51EE"/>
    <w:rsid w:val="00C37211"/>
    <w:rsid w:val="00C44CC8"/>
    <w:rsid w:val="00E558B2"/>
    <w:rsid w:val="00EE14A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51EE"/>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rsid w:val="0005518B"/>
    <w:pPr>
      <w:ind w:firstLine="567"/>
    </w:pPr>
    <w:rPr>
      <w:sz w:val="28"/>
      <w:szCs w:val="28"/>
    </w:rPr>
  </w:style>
  <w:style w:type="character" w:customStyle="1" w:styleId="20">
    <w:name w:val="Основной текст с отступом 2 Знак"/>
    <w:basedOn w:val="a0"/>
    <w:link w:val="2"/>
    <w:rsid w:val="0005518B"/>
    <w:rPr>
      <w:rFonts w:ascii="Times New Roman" w:eastAsia="Calibri" w:hAnsi="Times New Roman" w:cs="Times New Roman"/>
      <w:sz w:val="28"/>
      <w:szCs w:val="28"/>
      <w:lang w:eastAsia="ru-RU"/>
    </w:rPr>
  </w:style>
  <w:style w:type="table" w:styleId="a3">
    <w:name w:val="Table Grid"/>
    <w:basedOn w:val="a1"/>
    <w:uiPriority w:val="59"/>
    <w:rsid w:val="00055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link w:val="a5"/>
    <w:uiPriority w:val="99"/>
    <w:semiHidden/>
    <w:unhideWhenUsed/>
    <w:rsid w:val="0005518B"/>
    <w:pPr>
      <w:spacing w:after="120"/>
      <w:ind w:left="283"/>
    </w:pPr>
  </w:style>
  <w:style w:type="character" w:customStyle="1" w:styleId="a5">
    <w:name w:val="Основной текст с отступом Знак"/>
    <w:basedOn w:val="a0"/>
    <w:link w:val="a4"/>
    <w:uiPriority w:val="99"/>
    <w:semiHidden/>
    <w:rsid w:val="0005518B"/>
    <w:rPr>
      <w:rFonts w:ascii="Times New Roman" w:eastAsia="Calibri" w:hAnsi="Times New Roman" w:cs="Times New Roman"/>
      <w:sz w:val="24"/>
      <w:szCs w:val="24"/>
      <w:lang w:eastAsia="ru-RU"/>
    </w:rPr>
  </w:style>
  <w:style w:type="paragraph" w:styleId="a6">
    <w:name w:val="List Paragraph"/>
    <w:basedOn w:val="a"/>
    <w:uiPriority w:val="34"/>
    <w:qFormat/>
    <w:rsid w:val="0005518B"/>
    <w:pPr>
      <w:ind w:left="720"/>
      <w:contextualSpacing/>
    </w:pPr>
  </w:style>
  <w:style w:type="paragraph" w:styleId="a7">
    <w:name w:val="Balloon Text"/>
    <w:basedOn w:val="a"/>
    <w:link w:val="a8"/>
    <w:uiPriority w:val="99"/>
    <w:semiHidden/>
    <w:unhideWhenUsed/>
    <w:rsid w:val="0005518B"/>
    <w:rPr>
      <w:rFonts w:ascii="Tahoma" w:hAnsi="Tahoma" w:cs="Tahoma"/>
      <w:sz w:val="16"/>
      <w:szCs w:val="16"/>
    </w:rPr>
  </w:style>
  <w:style w:type="character" w:customStyle="1" w:styleId="a8">
    <w:name w:val="Текст выноски Знак"/>
    <w:basedOn w:val="a0"/>
    <w:link w:val="a7"/>
    <w:uiPriority w:val="99"/>
    <w:semiHidden/>
    <w:rsid w:val="0005518B"/>
    <w:rPr>
      <w:rFonts w:ascii="Tahoma" w:eastAsia="Calibri" w:hAnsi="Tahoma" w:cs="Tahoma"/>
      <w:sz w:val="16"/>
      <w:szCs w:val="16"/>
      <w:lang w:eastAsia="ru-RU"/>
    </w:rPr>
  </w:style>
  <w:style w:type="character" w:styleId="a9">
    <w:name w:val="Hyperlink"/>
    <w:basedOn w:val="a0"/>
    <w:uiPriority w:val="99"/>
    <w:unhideWhenUsed/>
    <w:rsid w:val="00603A01"/>
    <w:rPr>
      <w:color w:val="0000FF" w:themeColor="hyperlink"/>
      <w:u w:val="single"/>
    </w:rPr>
  </w:style>
  <w:style w:type="character" w:customStyle="1" w:styleId="hl1">
    <w:name w:val="hl1"/>
    <w:basedOn w:val="a0"/>
    <w:rsid w:val="00BC51EE"/>
    <w:rPr>
      <w:shd w:val="clear" w:color="auto" w:fill="FFFF00"/>
    </w:rPr>
  </w:style>
  <w:style w:type="paragraph" w:styleId="aa">
    <w:name w:val="header"/>
    <w:basedOn w:val="a"/>
    <w:link w:val="ab"/>
    <w:uiPriority w:val="99"/>
    <w:unhideWhenUsed/>
    <w:rsid w:val="00690DE0"/>
    <w:pPr>
      <w:tabs>
        <w:tab w:val="center" w:pos="4677"/>
        <w:tab w:val="right" w:pos="9355"/>
      </w:tabs>
    </w:pPr>
  </w:style>
  <w:style w:type="character" w:customStyle="1" w:styleId="ab">
    <w:name w:val="Верхний колонтитул Знак"/>
    <w:basedOn w:val="a0"/>
    <w:link w:val="aa"/>
    <w:uiPriority w:val="99"/>
    <w:rsid w:val="00690DE0"/>
    <w:rPr>
      <w:rFonts w:ascii="Times New Roman" w:eastAsia="Calibri" w:hAnsi="Times New Roman" w:cs="Times New Roman"/>
      <w:sz w:val="24"/>
      <w:szCs w:val="24"/>
      <w:lang w:eastAsia="ru-RU"/>
    </w:rPr>
  </w:style>
  <w:style w:type="paragraph" w:styleId="ac">
    <w:name w:val="footer"/>
    <w:basedOn w:val="a"/>
    <w:link w:val="ad"/>
    <w:uiPriority w:val="99"/>
    <w:unhideWhenUsed/>
    <w:rsid w:val="00690DE0"/>
    <w:pPr>
      <w:tabs>
        <w:tab w:val="center" w:pos="4677"/>
        <w:tab w:val="right" w:pos="9355"/>
      </w:tabs>
    </w:pPr>
  </w:style>
  <w:style w:type="character" w:customStyle="1" w:styleId="ad">
    <w:name w:val="Нижний колонтитул Знак"/>
    <w:basedOn w:val="a0"/>
    <w:link w:val="ac"/>
    <w:uiPriority w:val="99"/>
    <w:rsid w:val="00690DE0"/>
    <w:rPr>
      <w:rFonts w:ascii="Times New Roman" w:eastAsia="Calibri"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51EE"/>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rsid w:val="0005518B"/>
    <w:pPr>
      <w:ind w:firstLine="567"/>
    </w:pPr>
    <w:rPr>
      <w:sz w:val="28"/>
      <w:szCs w:val="28"/>
    </w:rPr>
  </w:style>
  <w:style w:type="character" w:customStyle="1" w:styleId="20">
    <w:name w:val="Основной текст с отступом 2 Знак"/>
    <w:basedOn w:val="a0"/>
    <w:link w:val="2"/>
    <w:rsid w:val="0005518B"/>
    <w:rPr>
      <w:rFonts w:ascii="Times New Roman" w:eastAsia="Calibri" w:hAnsi="Times New Roman" w:cs="Times New Roman"/>
      <w:sz w:val="28"/>
      <w:szCs w:val="28"/>
      <w:lang w:eastAsia="ru-RU"/>
    </w:rPr>
  </w:style>
  <w:style w:type="table" w:styleId="a3">
    <w:name w:val="Table Grid"/>
    <w:basedOn w:val="a1"/>
    <w:uiPriority w:val="59"/>
    <w:rsid w:val="00055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link w:val="a5"/>
    <w:uiPriority w:val="99"/>
    <w:semiHidden/>
    <w:unhideWhenUsed/>
    <w:rsid w:val="0005518B"/>
    <w:pPr>
      <w:spacing w:after="120"/>
      <w:ind w:left="283"/>
    </w:pPr>
  </w:style>
  <w:style w:type="character" w:customStyle="1" w:styleId="a5">
    <w:name w:val="Основной текст с отступом Знак"/>
    <w:basedOn w:val="a0"/>
    <w:link w:val="a4"/>
    <w:uiPriority w:val="99"/>
    <w:semiHidden/>
    <w:rsid w:val="0005518B"/>
    <w:rPr>
      <w:rFonts w:ascii="Times New Roman" w:eastAsia="Calibri" w:hAnsi="Times New Roman" w:cs="Times New Roman"/>
      <w:sz w:val="24"/>
      <w:szCs w:val="24"/>
      <w:lang w:eastAsia="ru-RU"/>
    </w:rPr>
  </w:style>
  <w:style w:type="paragraph" w:styleId="a6">
    <w:name w:val="List Paragraph"/>
    <w:basedOn w:val="a"/>
    <w:uiPriority w:val="34"/>
    <w:qFormat/>
    <w:rsid w:val="0005518B"/>
    <w:pPr>
      <w:ind w:left="720"/>
      <w:contextualSpacing/>
    </w:pPr>
  </w:style>
  <w:style w:type="paragraph" w:styleId="a7">
    <w:name w:val="Balloon Text"/>
    <w:basedOn w:val="a"/>
    <w:link w:val="a8"/>
    <w:uiPriority w:val="99"/>
    <w:semiHidden/>
    <w:unhideWhenUsed/>
    <w:rsid w:val="0005518B"/>
    <w:rPr>
      <w:rFonts w:ascii="Tahoma" w:hAnsi="Tahoma" w:cs="Tahoma"/>
      <w:sz w:val="16"/>
      <w:szCs w:val="16"/>
    </w:rPr>
  </w:style>
  <w:style w:type="character" w:customStyle="1" w:styleId="a8">
    <w:name w:val="Текст выноски Знак"/>
    <w:basedOn w:val="a0"/>
    <w:link w:val="a7"/>
    <w:uiPriority w:val="99"/>
    <w:semiHidden/>
    <w:rsid w:val="0005518B"/>
    <w:rPr>
      <w:rFonts w:ascii="Tahoma" w:eastAsia="Calibri" w:hAnsi="Tahoma" w:cs="Tahoma"/>
      <w:sz w:val="16"/>
      <w:szCs w:val="16"/>
      <w:lang w:eastAsia="ru-RU"/>
    </w:rPr>
  </w:style>
  <w:style w:type="character" w:styleId="a9">
    <w:name w:val="Hyperlink"/>
    <w:basedOn w:val="a0"/>
    <w:uiPriority w:val="99"/>
    <w:unhideWhenUsed/>
    <w:rsid w:val="00603A01"/>
    <w:rPr>
      <w:color w:val="0000FF" w:themeColor="hyperlink"/>
      <w:u w:val="single"/>
    </w:rPr>
  </w:style>
  <w:style w:type="character" w:customStyle="1" w:styleId="hl1">
    <w:name w:val="hl1"/>
    <w:basedOn w:val="a0"/>
    <w:rsid w:val="00BC51EE"/>
    <w:rPr>
      <w:shd w:val="clear" w:color="auto" w:fill="FFFF00"/>
    </w:rPr>
  </w:style>
  <w:style w:type="paragraph" w:styleId="aa">
    <w:name w:val="header"/>
    <w:basedOn w:val="a"/>
    <w:link w:val="ab"/>
    <w:uiPriority w:val="99"/>
    <w:unhideWhenUsed/>
    <w:rsid w:val="00690DE0"/>
    <w:pPr>
      <w:tabs>
        <w:tab w:val="center" w:pos="4677"/>
        <w:tab w:val="right" w:pos="9355"/>
      </w:tabs>
    </w:pPr>
  </w:style>
  <w:style w:type="character" w:customStyle="1" w:styleId="ab">
    <w:name w:val="Верхний колонтитул Знак"/>
    <w:basedOn w:val="a0"/>
    <w:link w:val="aa"/>
    <w:uiPriority w:val="99"/>
    <w:rsid w:val="00690DE0"/>
    <w:rPr>
      <w:rFonts w:ascii="Times New Roman" w:eastAsia="Calibri" w:hAnsi="Times New Roman" w:cs="Times New Roman"/>
      <w:sz w:val="24"/>
      <w:szCs w:val="24"/>
      <w:lang w:eastAsia="ru-RU"/>
    </w:rPr>
  </w:style>
  <w:style w:type="paragraph" w:styleId="ac">
    <w:name w:val="footer"/>
    <w:basedOn w:val="a"/>
    <w:link w:val="ad"/>
    <w:uiPriority w:val="99"/>
    <w:unhideWhenUsed/>
    <w:rsid w:val="00690DE0"/>
    <w:pPr>
      <w:tabs>
        <w:tab w:val="center" w:pos="4677"/>
        <w:tab w:val="right" w:pos="9355"/>
      </w:tabs>
    </w:pPr>
  </w:style>
  <w:style w:type="character" w:customStyle="1" w:styleId="ad">
    <w:name w:val="Нижний колонтитул Знак"/>
    <w:basedOn w:val="a0"/>
    <w:link w:val="ac"/>
    <w:uiPriority w:val="99"/>
    <w:rsid w:val="00690DE0"/>
    <w:rPr>
      <w:rFonts w:ascii="Times New Roman" w:eastAsia="Calibri"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755130303">
      <w:bodyDiv w:val="1"/>
      <w:marLeft w:val="0"/>
      <w:marRight w:val="0"/>
      <w:marTop w:val="0"/>
      <w:marBottom w:val="0"/>
      <w:divBdr>
        <w:top w:val="none" w:sz="0" w:space="0" w:color="auto"/>
        <w:left w:val="none" w:sz="0" w:space="0" w:color="auto"/>
        <w:bottom w:val="none" w:sz="0" w:space="0" w:color="auto"/>
        <w:right w:val="none" w:sz="0" w:space="0" w:color="auto"/>
      </w:divBdr>
    </w:div>
    <w:div w:id="824902512">
      <w:bodyDiv w:val="1"/>
      <w:marLeft w:val="0"/>
      <w:marRight w:val="0"/>
      <w:marTop w:val="0"/>
      <w:marBottom w:val="0"/>
      <w:divBdr>
        <w:top w:val="none" w:sz="0" w:space="0" w:color="auto"/>
        <w:left w:val="none" w:sz="0" w:space="0" w:color="auto"/>
        <w:bottom w:val="none" w:sz="0" w:space="0" w:color="auto"/>
        <w:right w:val="none" w:sz="0" w:space="0" w:color="auto"/>
      </w:divBdr>
    </w:div>
    <w:div w:id="1197157414">
      <w:bodyDiv w:val="1"/>
      <w:marLeft w:val="0"/>
      <w:marRight w:val="0"/>
      <w:marTop w:val="0"/>
      <w:marBottom w:val="0"/>
      <w:divBdr>
        <w:top w:val="none" w:sz="0" w:space="0" w:color="auto"/>
        <w:left w:val="none" w:sz="0" w:space="0" w:color="auto"/>
        <w:bottom w:val="none" w:sz="0" w:space="0" w:color="auto"/>
        <w:right w:val="none" w:sz="0" w:space="0" w:color="auto"/>
      </w:divBdr>
    </w:div>
    <w:div w:id="1378704098">
      <w:bodyDiv w:val="1"/>
      <w:marLeft w:val="0"/>
      <w:marRight w:val="0"/>
      <w:marTop w:val="0"/>
      <w:marBottom w:val="0"/>
      <w:divBdr>
        <w:top w:val="none" w:sz="0" w:space="0" w:color="auto"/>
        <w:left w:val="none" w:sz="0" w:space="0" w:color="auto"/>
        <w:bottom w:val="none" w:sz="0" w:space="0" w:color="auto"/>
        <w:right w:val="none" w:sz="0" w:space="0" w:color="auto"/>
      </w:divBdr>
    </w:div>
    <w:div w:id="1599874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26" Type="http://schemas.openxmlformats.org/officeDocument/2006/relationships/image" Target="media/image8.png"/><Relationship Id="rId39" Type="http://schemas.openxmlformats.org/officeDocument/2006/relationships/theme" Target="theme/theme1.xml"/><Relationship Id="rId3" Type="http://schemas.openxmlformats.org/officeDocument/2006/relationships/styles" Target="styles.xml"/><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5.png"/><Relationship Id="rId25" Type="http://schemas.openxmlformats.org/officeDocument/2006/relationships/image" Target="media/image7.png"/><Relationship Id="rId33" Type="http://schemas.microsoft.com/office/2007/relationships/hdphoto" Target="media/hdphoto2.wdp"/><Relationship Id="rId3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footer" Target="footer1.xml"/><Relationship Id="rId40" Type="http://schemas.microsoft.com/office/2007/relationships/stylesWithEffects" Target="stylesWithEffects.xml"/><Relationship Id="rId5" Type="http://schemas.openxmlformats.org/officeDocument/2006/relationships/webSettings" Target="webSettings.xml"/><Relationship Id="rId23" Type="http://schemas.microsoft.com/office/2007/relationships/hdphoto" Target="media/hdphoto1.wdp"/><Relationship Id="rId28" Type="http://schemas.openxmlformats.org/officeDocument/2006/relationships/image" Target="media/image10.png"/><Relationship Id="rId36" Type="http://schemas.openxmlformats.org/officeDocument/2006/relationships/image" Target="media/image16.png"/><Relationship Id="rId10"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9.png"/><Relationship Id="rId30" Type="http://schemas.openxmlformats.org/officeDocument/2006/relationships/image" Target="media/image12.png"/><Relationship Id="rId35"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738FB4-C8DD-4E06-B627-9CBF721E4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15</Pages>
  <Words>2368</Words>
  <Characters>13501</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 Ивановна Швец</dc:creator>
  <cp:lastModifiedBy>Пользователь Windows</cp:lastModifiedBy>
  <cp:revision>4</cp:revision>
  <dcterms:created xsi:type="dcterms:W3CDTF">2015-06-22T12:20:00Z</dcterms:created>
  <dcterms:modified xsi:type="dcterms:W3CDTF">2015-10-30T12:49:00Z</dcterms:modified>
</cp:coreProperties>
</file>